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06A26" w14:textId="77777777" w:rsidR="00A009D4" w:rsidRDefault="00000000">
      <w:pPr>
        <w:spacing w:before="480" w:after="80"/>
        <w:jc w:val="center"/>
      </w:pPr>
      <w:r>
        <w:rPr>
          <w:rFonts w:ascii="Times New Roman" w:hAnsi="Times New Roman"/>
          <w:b/>
          <w:sz w:val="28"/>
        </w:rPr>
        <w:t>University of Staffordshire London</w:t>
      </w:r>
    </w:p>
    <w:p w14:paraId="6A651522" w14:textId="77777777" w:rsidR="00A009D4" w:rsidRDefault="00000000">
      <w:pPr>
        <w:spacing w:after="400"/>
        <w:jc w:val="center"/>
      </w:pPr>
      <w:r>
        <w:rPr>
          <w:rFonts w:ascii="Times New Roman" w:hAnsi="Times New Roman"/>
          <w:sz w:val="24"/>
        </w:rPr>
        <w:t>BSc (Hons) Cybersecurity</w:t>
      </w:r>
    </w:p>
    <w:p w14:paraId="42E8B7AE" w14:textId="77777777" w:rsidR="00A009D4" w:rsidRDefault="00000000">
      <w:pPr>
        <w:spacing w:before="200" w:after="120"/>
        <w:jc w:val="center"/>
      </w:pPr>
      <w:r>
        <w:rPr>
          <w:rFonts w:ascii="Times New Roman" w:hAnsi="Times New Roman"/>
          <w:b/>
          <w:sz w:val="32"/>
        </w:rPr>
        <w:t>INFOGUARD: Phishing Attack Awareness and Simulation Platform</w:t>
      </w:r>
    </w:p>
    <w:p w14:paraId="74DB717D" w14:textId="77777777" w:rsidR="00A009D4" w:rsidRDefault="00000000">
      <w:pPr>
        <w:spacing w:after="600"/>
        <w:jc w:val="center"/>
      </w:pPr>
      <w:r>
        <w:rPr>
          <w:rFonts w:ascii="Times New Roman" w:hAnsi="Times New Roman"/>
          <w:i/>
          <w:sz w:val="24"/>
        </w:rPr>
        <w:t>Final Year Project Dissertation</w:t>
      </w:r>
    </w:p>
    <w:p w14:paraId="219DBC1A" w14:textId="77777777" w:rsidR="00A009D4" w:rsidRDefault="00000000">
      <w:pPr>
        <w:spacing w:after="60"/>
        <w:jc w:val="center"/>
      </w:pPr>
      <w:r>
        <w:rPr>
          <w:rFonts w:ascii="Times New Roman" w:hAnsi="Times New Roman"/>
          <w:b/>
          <w:sz w:val="24"/>
        </w:rPr>
        <w:t xml:space="preserve">Student Name:  </w:t>
      </w:r>
      <w:r>
        <w:rPr>
          <w:rFonts w:ascii="Times New Roman" w:hAnsi="Times New Roman"/>
          <w:sz w:val="24"/>
        </w:rPr>
        <w:t>Omar Bashir</w:t>
      </w:r>
    </w:p>
    <w:p w14:paraId="3B45F64E" w14:textId="77777777" w:rsidR="00A009D4" w:rsidRDefault="00000000">
      <w:pPr>
        <w:spacing w:after="60"/>
        <w:jc w:val="center"/>
      </w:pPr>
      <w:r>
        <w:rPr>
          <w:rFonts w:ascii="Times New Roman" w:hAnsi="Times New Roman"/>
          <w:b/>
          <w:sz w:val="24"/>
        </w:rPr>
        <w:t xml:space="preserve">Student ID:  </w:t>
      </w:r>
      <w:r>
        <w:rPr>
          <w:rFonts w:ascii="Times New Roman" w:hAnsi="Times New Roman"/>
          <w:sz w:val="24"/>
        </w:rPr>
        <w:t>21017630</w:t>
      </w:r>
    </w:p>
    <w:p w14:paraId="0606E568" w14:textId="77777777" w:rsidR="00A009D4" w:rsidRDefault="00000000">
      <w:pPr>
        <w:spacing w:after="60"/>
        <w:jc w:val="center"/>
      </w:pPr>
      <w:r>
        <w:rPr>
          <w:rFonts w:ascii="Times New Roman" w:hAnsi="Times New Roman"/>
          <w:b/>
          <w:sz w:val="24"/>
        </w:rPr>
        <w:t xml:space="preserve">Programme:  </w:t>
      </w:r>
      <w:r>
        <w:rPr>
          <w:rFonts w:ascii="Times New Roman" w:hAnsi="Times New Roman"/>
          <w:sz w:val="24"/>
        </w:rPr>
        <w:t>BSc (Hons) Cybersecurity</w:t>
      </w:r>
    </w:p>
    <w:p w14:paraId="519B7CCE" w14:textId="77777777" w:rsidR="00A009D4" w:rsidRDefault="00000000">
      <w:pPr>
        <w:spacing w:after="60"/>
        <w:jc w:val="center"/>
      </w:pPr>
      <w:r>
        <w:rPr>
          <w:rFonts w:ascii="Times New Roman" w:hAnsi="Times New Roman"/>
          <w:b/>
          <w:sz w:val="24"/>
        </w:rPr>
        <w:t xml:space="preserve">Module Codes:  </w:t>
      </w:r>
      <w:r>
        <w:rPr>
          <w:rFonts w:ascii="Times New Roman" w:hAnsi="Times New Roman"/>
          <w:sz w:val="24"/>
        </w:rPr>
        <w:t>COMP60024 &amp; COMP60066</w:t>
      </w:r>
    </w:p>
    <w:p w14:paraId="550FC340" w14:textId="77777777" w:rsidR="00A009D4" w:rsidRDefault="00000000">
      <w:pPr>
        <w:spacing w:after="60"/>
        <w:jc w:val="center"/>
      </w:pPr>
      <w:r>
        <w:rPr>
          <w:rFonts w:ascii="Times New Roman" w:hAnsi="Times New Roman"/>
          <w:b/>
          <w:sz w:val="24"/>
        </w:rPr>
        <w:t xml:space="preserve">Supervisors:  </w:t>
      </w:r>
      <w:r>
        <w:rPr>
          <w:rFonts w:ascii="Times New Roman" w:hAnsi="Times New Roman"/>
          <w:sz w:val="24"/>
        </w:rPr>
        <w:t>Mohammad Heydari &amp; Mahsa Zolfaghari</w:t>
      </w:r>
    </w:p>
    <w:p w14:paraId="58C254FA" w14:textId="77777777" w:rsidR="00A009D4" w:rsidRDefault="00000000">
      <w:pPr>
        <w:spacing w:after="60"/>
        <w:jc w:val="center"/>
      </w:pPr>
      <w:r>
        <w:rPr>
          <w:rFonts w:ascii="Times New Roman" w:hAnsi="Times New Roman"/>
          <w:b/>
          <w:sz w:val="24"/>
        </w:rPr>
        <w:t xml:space="preserve">Submission Date:  </w:t>
      </w:r>
      <w:r>
        <w:rPr>
          <w:rFonts w:ascii="Times New Roman" w:hAnsi="Times New Roman"/>
          <w:sz w:val="24"/>
        </w:rPr>
        <w:t>May 2026</w:t>
      </w:r>
    </w:p>
    <w:p w14:paraId="3242D5C9" w14:textId="77777777" w:rsidR="00A009D4" w:rsidRDefault="00000000">
      <w:pPr>
        <w:spacing w:after="60"/>
        <w:jc w:val="center"/>
      </w:pPr>
      <w:r>
        <w:rPr>
          <w:rFonts w:ascii="Times New Roman" w:hAnsi="Times New Roman"/>
          <w:b/>
          <w:sz w:val="24"/>
        </w:rPr>
        <w:t xml:space="preserve">Live URL:  </w:t>
      </w:r>
      <w:r>
        <w:rPr>
          <w:rFonts w:ascii="Times New Roman" w:hAnsi="Times New Roman"/>
          <w:sz w:val="24"/>
        </w:rPr>
        <w:t>https://ssramoss.github.io/INFOGUARD-Phishing-Simulation/</w:t>
      </w:r>
    </w:p>
    <w:p w14:paraId="49104720" w14:textId="77777777" w:rsidR="00A009D4" w:rsidRDefault="00000000">
      <w:r>
        <w:br w:type="page"/>
      </w:r>
    </w:p>
    <w:p w14:paraId="10857EEE" w14:textId="77777777" w:rsidR="00A009D4" w:rsidRDefault="00000000">
      <w:pPr>
        <w:spacing w:before="360" w:after="160"/>
        <w:jc w:val="center"/>
      </w:pPr>
      <w:r>
        <w:rPr>
          <w:rFonts w:ascii="Times New Roman" w:hAnsi="Times New Roman"/>
          <w:b/>
          <w:sz w:val="28"/>
        </w:rPr>
        <w:lastRenderedPageBreak/>
        <w:t>Abstract</w:t>
      </w:r>
    </w:p>
    <w:p w14:paraId="6C631DF1" w14:textId="528CBD88" w:rsidR="00A009D4" w:rsidRDefault="00000000">
      <w:pPr>
        <w:spacing w:after="120"/>
        <w:jc w:val="both"/>
      </w:pPr>
      <w:r>
        <w:rPr>
          <w:rFonts w:ascii="Times New Roman" w:hAnsi="Times New Roman"/>
          <w:sz w:val="24"/>
        </w:rPr>
        <w:t xml:space="preserve">Phishing attacks continue to rank among the most prevalent and </w:t>
      </w:r>
      <w:sdt>
        <w:sdtPr>
          <w:rPr>
            <w:rFonts w:ascii="Times New Roman" w:hAnsi="Times New Roman"/>
            <w:sz w:val="24"/>
          </w:rPr>
          <w:tag w:val="tii-similarity-U1VCTUlUVEVEX1dPUktfb2lkOjE4MTE1OjM4MTk2NTA3MQ=="/>
          <w:id w:val="-123846267"/>
          <w:placeholder>
            <w:docPart w:val="DefaultPlaceholder_-1854013440"/>
          </w:placeholder>
          <w15:appearance w15:val="hidden"/>
        </w:sdtPr>
        <w:sdtContent>
          <w:r>
            <w:rPr>
              <w:rFonts w:ascii="Times New Roman" w:hAnsi="Times New Roman"/>
              <w:sz w:val="24"/>
            </w:rPr>
            <w:t>financially damaging</w:t>
          </w:r>
        </w:sdtContent>
      </w:sdt>
      <w:r>
        <w:rPr>
          <w:rFonts w:ascii="Times New Roman" w:hAnsi="Times New Roman"/>
          <w:sz w:val="24"/>
        </w:rPr>
        <w:t xml:space="preserve"> cybersecurity </w:t>
      </w:r>
      <w:sdt>
        <w:sdtPr>
          <w:rPr>
            <w:rFonts w:ascii="Times New Roman" w:hAnsi="Times New Roman"/>
            <w:sz w:val="24"/>
          </w:rPr>
          <w:tag w:val="tii-similarity-U1VCTUlUVEVEX1dPUktfb2lkOjE4MTE1OjM4MTk2NTA3MQ=="/>
          <w:id w:val="-1509521215"/>
          <w:placeholder>
            <w:docPart w:val="DefaultPlaceholder_-1854013440"/>
          </w:placeholder>
          <w15:appearance w15:val="hidden"/>
        </w:sdtPr>
        <w:sdtContent>
          <w:r>
            <w:rPr>
              <w:rFonts w:ascii="Times New Roman" w:hAnsi="Times New Roman"/>
              <w:sz w:val="24"/>
            </w:rPr>
            <w:t>threats globally</w:t>
          </w:r>
        </w:sdtContent>
      </w:sdt>
      <w:r>
        <w:rPr>
          <w:rFonts w:ascii="Times New Roman" w:hAnsi="Times New Roman"/>
          <w:sz w:val="24"/>
        </w:rPr>
        <w:t xml:space="preserve">, accounting for over 36% of all reported data breaches in 2023 according to the Verizon Data Breach Investigations Report (DBIR). Despite sustained investment in security awareness training, passive instruction formats — lectures, PDF </w:t>
      </w:r>
      <w:sdt>
        <w:sdtPr>
          <w:rPr>
            <w:rFonts w:ascii="Times New Roman" w:hAnsi="Times New Roman"/>
            <w:sz w:val="24"/>
          </w:rPr>
          <w:tag w:val="tii-similarity-U1VCTUlUVEVEX1dPUktfb2lkOjE4MTE1OjM4MTk2NTA3MQ=="/>
          <w:id w:val="18289658"/>
          <w:placeholder>
            <w:docPart w:val="DefaultPlaceholder_-1854013440"/>
          </w:placeholder>
          <w15:appearance w15:val="hidden"/>
        </w:sdtPr>
        <w:sdtContent>
          <w:r>
            <w:rPr>
              <w:rFonts w:ascii="Times New Roman" w:hAnsi="Times New Roman"/>
              <w:sz w:val="24"/>
            </w:rPr>
            <w:t>handouts, and mandatory compliance modules — consistently fail to produce</w:t>
          </w:r>
        </w:sdtContent>
      </w:sdt>
      <w:r>
        <w:rPr>
          <w:rFonts w:ascii="Times New Roman" w:hAnsi="Times New Roman"/>
          <w:sz w:val="24"/>
        </w:rPr>
        <w:t xml:space="preserve"> lasting </w:t>
      </w:r>
      <w:proofErr w:type="spellStart"/>
      <w:r>
        <w:rPr>
          <w:rFonts w:ascii="Times New Roman" w:hAnsi="Times New Roman"/>
          <w:sz w:val="24"/>
        </w:rPr>
        <w:t>behavioural</w:t>
      </w:r>
      <w:proofErr w:type="spellEnd"/>
      <w:r>
        <w:rPr>
          <w:rFonts w:ascii="Times New Roman" w:hAnsi="Times New Roman"/>
          <w:sz w:val="24"/>
        </w:rPr>
        <w:t xml:space="preserve"> </w:t>
      </w:r>
      <w:proofErr w:type="gramStart"/>
      <w:r>
        <w:rPr>
          <w:rFonts w:ascii="Times New Roman" w:hAnsi="Times New Roman"/>
          <w:sz w:val="24"/>
        </w:rPr>
        <w:t>change</w:t>
      </w:r>
      <w:proofErr w:type="gramEnd"/>
      <w:r>
        <w:rPr>
          <w:rFonts w:ascii="Times New Roman" w:hAnsi="Times New Roman"/>
          <w:sz w:val="24"/>
        </w:rPr>
        <w:t xml:space="preserve">. This project addresses that shortcoming through </w:t>
      </w:r>
      <w:sdt>
        <w:sdtPr>
          <w:rPr>
            <w:rFonts w:ascii="Times New Roman" w:hAnsi="Times New Roman"/>
            <w:sz w:val="24"/>
          </w:rPr>
          <w:tag w:val="tii-similarity-U1VCTUlUVEVEX1dPUktfb2lkOjE4MTE1OjM4MTk2NTA3MQ=="/>
          <w:id w:val="-158462555"/>
          <w:placeholder>
            <w:docPart w:val="DefaultPlaceholder_-1854013440"/>
          </w:placeholder>
          <w15:appearance w15:val="hidden"/>
        </w:sdtPr>
        <w:sdtContent>
          <w:r>
            <w:rPr>
              <w:rFonts w:ascii="Times New Roman" w:hAnsi="Times New Roman"/>
              <w:sz w:val="24"/>
            </w:rPr>
            <w:t xml:space="preserve">the design, development, and evaluation of </w:t>
          </w:r>
          <w:proofErr w:type="spellStart"/>
          <w:r>
            <w:rPr>
              <w:rFonts w:ascii="Times New Roman" w:hAnsi="Times New Roman"/>
              <w:sz w:val="24"/>
            </w:rPr>
            <w:t>InfoGuard</w:t>
          </w:r>
          <w:proofErr w:type="spellEnd"/>
          <w:r>
            <w:rPr>
              <w:rFonts w:ascii="Times New Roman" w:hAnsi="Times New Roman"/>
              <w:sz w:val="24"/>
            </w:rPr>
            <w:t>: a</w:t>
          </w:r>
        </w:sdtContent>
      </w:sdt>
      <w:r>
        <w:rPr>
          <w:rFonts w:ascii="Times New Roman" w:hAnsi="Times New Roman"/>
          <w:sz w:val="24"/>
        </w:rPr>
        <w:t xml:space="preserve"> browser-based, gamified phishing awareness and simulation platform that replaces passive knowledge delivery with active, scenario-driven experiential learning.</w:t>
      </w:r>
    </w:p>
    <w:p w14:paraId="31808A35" w14:textId="45C0777C" w:rsidR="00A009D4" w:rsidRDefault="00000000">
      <w:pPr>
        <w:spacing w:after="120"/>
        <w:jc w:val="both"/>
      </w:pPr>
      <w:proofErr w:type="spellStart"/>
      <w:r>
        <w:rPr>
          <w:rFonts w:ascii="Times New Roman" w:hAnsi="Times New Roman"/>
          <w:sz w:val="24"/>
        </w:rPr>
        <w:t>InfoGuard</w:t>
      </w:r>
      <w:proofErr w:type="spellEnd"/>
      <w:r>
        <w:rPr>
          <w:rFonts w:ascii="Times New Roman" w:hAnsi="Times New Roman"/>
          <w:sz w:val="24"/>
        </w:rPr>
        <w:t xml:space="preserve"> was </w:t>
      </w:r>
      <w:sdt>
        <w:sdtPr>
          <w:rPr>
            <w:rFonts w:ascii="Times New Roman" w:hAnsi="Times New Roman"/>
            <w:sz w:val="24"/>
          </w:rPr>
          <w:tag w:val="tii-similarity-U1VCTUlUVEVEX1dPUktfb2lkOjE4MTE1OjM4MTk2NTA3MQ=="/>
          <w:id w:val="-1809469461"/>
          <w:placeholder>
            <w:docPart w:val="DefaultPlaceholder_-1854013440"/>
          </w:placeholder>
          <w15:appearance w15:val="hidden"/>
        </w:sdtPr>
        <w:sdtContent>
          <w:r>
            <w:rPr>
              <w:rFonts w:ascii="Times New Roman" w:hAnsi="Times New Roman"/>
              <w:sz w:val="24"/>
            </w:rPr>
            <w:t>developed using HTML5, CSS3, and JavaScript with</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124357556"/>
          <w:placeholder>
            <w:docPart w:val="DefaultPlaceholder_-1854013440"/>
          </w:placeholder>
          <w15:appearance w15:val="hidden"/>
        </w:sdtPr>
        <w:sdtContent>
          <w:r>
            <w:rPr>
              <w:rFonts w:ascii="Times New Roman" w:hAnsi="Times New Roman"/>
              <w:sz w:val="24"/>
            </w:rPr>
            <w:t>Three.js for WebGL</w:t>
          </w:r>
        </w:sdtContent>
      </w:sdt>
      <w:r>
        <w:rPr>
          <w:rFonts w:ascii="Times New Roman" w:hAnsi="Times New Roman"/>
          <w:sz w:val="24"/>
        </w:rPr>
        <w:t xml:space="preserve"> particle rendering, written in Visual Studio Code, and deployed publicly via GitHub Pages. The platform requires no installation, no server infrastructure, and no user accounts. No credentials or personal data are collected or stored at any point; all simulation logic runs entirely within the browser session. The game presents users with ten rounds of simulated social media direct message (DM) phishing scenarios within a realistic smartphone interface, requiring real-time classification decisions and providing immediate educational feedback after each round.</w:t>
      </w:r>
    </w:p>
    <w:p w14:paraId="2B42DD36" w14:textId="20662E78" w:rsidR="00A009D4" w:rsidRDefault="00000000">
      <w:pPr>
        <w:spacing w:after="120"/>
        <w:jc w:val="both"/>
      </w:pPr>
      <w:r>
        <w:rPr>
          <w:rFonts w:ascii="Times New Roman" w:hAnsi="Times New Roman"/>
          <w:sz w:val="24"/>
        </w:rPr>
        <w:t xml:space="preserve">Evaluation combined pre- and post-game questionnaires administered to six consenting BSc Cybersecurity students at the University of Staffordshire London during dedicated </w:t>
      </w:r>
      <w:sdt>
        <w:sdtPr>
          <w:rPr>
            <w:rFonts w:ascii="Times New Roman" w:hAnsi="Times New Roman"/>
            <w:sz w:val="24"/>
          </w:rPr>
          <w:tag w:val="tii-similarity-U1VCTUlUVEVEX1dPUktfb2lkOjE4MTE1OjM4MTk2NTA3MQ=="/>
          <w:id w:val="15285057"/>
          <w:placeholder>
            <w:docPart w:val="DefaultPlaceholder_-1854013440"/>
          </w:placeholder>
          <w15:appearance w15:val="hidden"/>
        </w:sdtPr>
        <w:sdtContent>
          <w:r>
            <w:rPr>
              <w:rFonts w:ascii="Times New Roman" w:hAnsi="Times New Roman"/>
              <w:sz w:val="24"/>
            </w:rPr>
            <w:t>testing sessions in March and April 2026</w:t>
          </w:r>
        </w:sdtContent>
      </w:sdt>
      <w:r>
        <w:rPr>
          <w:rFonts w:ascii="Times New Roman" w:hAnsi="Times New Roman"/>
          <w:sz w:val="24"/>
        </w:rPr>
        <w:t xml:space="preserve">. Results showed measurable improvements across all tracked awareness indicators. All post-game </w:t>
      </w:r>
      <w:sdt>
        <w:sdtPr>
          <w:rPr>
            <w:rFonts w:ascii="Times New Roman" w:hAnsi="Times New Roman"/>
            <w:sz w:val="24"/>
          </w:rPr>
          <w:tag w:val="tii-similarity-U1VCTUlUVEVEX1dPUktfb2lkOjE4MTE1OjM4MTk2NTA3MQ=="/>
          <w:id w:val="-1136875623"/>
          <w:placeholder>
            <w:docPart w:val="DefaultPlaceholder_-1854013440"/>
          </w:placeholder>
          <w15:appearance w15:val="hidden"/>
        </w:sdtPr>
        <w:sdtContent>
          <w:r>
            <w:rPr>
              <w:rFonts w:ascii="Times New Roman" w:hAnsi="Times New Roman"/>
              <w:sz w:val="24"/>
            </w:rPr>
            <w:t xml:space="preserve">respondents </w:t>
          </w:r>
          <w:proofErr w:type="gramStart"/>
          <w:r>
            <w:rPr>
              <w:rFonts w:ascii="Times New Roman" w:hAnsi="Times New Roman"/>
              <w:sz w:val="24"/>
            </w:rPr>
            <w:t>agreed</w:t>
          </w:r>
          <w:proofErr w:type="gramEnd"/>
          <w:r>
            <w:rPr>
              <w:rFonts w:ascii="Times New Roman" w:hAnsi="Times New Roman"/>
              <w:sz w:val="24"/>
            </w:rPr>
            <w:t xml:space="preserve"> the platform helped them understand how personal</w:t>
          </w:r>
        </w:sdtContent>
      </w:sdt>
      <w:r>
        <w:rPr>
          <w:rFonts w:ascii="Times New Roman" w:hAnsi="Times New Roman"/>
          <w:sz w:val="24"/>
        </w:rPr>
        <w:t xml:space="preserve"> information can be unintentionally disclosed online; 80% rated </w:t>
      </w:r>
      <w:proofErr w:type="spellStart"/>
      <w:r>
        <w:rPr>
          <w:rFonts w:ascii="Times New Roman" w:hAnsi="Times New Roman"/>
          <w:sz w:val="24"/>
        </w:rPr>
        <w:t>InfoGuard</w:t>
      </w:r>
      <w:proofErr w:type="spellEnd"/>
      <w:r>
        <w:rPr>
          <w:rFonts w:ascii="Times New Roman" w:hAnsi="Times New Roman"/>
          <w:sz w:val="24"/>
        </w:rPr>
        <w:t xml:space="preserve"> as substantially </w:t>
      </w:r>
      <w:sdt>
        <w:sdtPr>
          <w:rPr>
            <w:rFonts w:ascii="Times New Roman" w:hAnsi="Times New Roman"/>
            <w:sz w:val="24"/>
          </w:rPr>
          <w:tag w:val="tii-similarity-U1VCTUlUVEVEX1dPUktfb2lkOjE4MTE1OjM4MTk2NTA3MQ=="/>
          <w:id w:val="1109697743"/>
          <w:placeholder>
            <w:docPart w:val="DefaultPlaceholder_-1854013440"/>
          </w:placeholder>
          <w15:appearance w15:val="hidden"/>
        </w:sdtPr>
        <w:sdtContent>
          <w:r>
            <w:rPr>
              <w:rFonts w:ascii="Times New Roman" w:hAnsi="Times New Roman"/>
              <w:sz w:val="24"/>
            </w:rPr>
            <w:t>more useful than traditional training methods. Key</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1600946065"/>
          <w:placeholder>
            <w:docPart w:val="DefaultPlaceholder_-1854013440"/>
          </w:placeholder>
          <w15:appearance w15:val="hidden"/>
        </w:sdtPr>
        <w:sdtContent>
          <w:r>
            <w:rPr>
              <w:rFonts w:ascii="Times New Roman" w:hAnsi="Times New Roman"/>
              <w:sz w:val="24"/>
            </w:rPr>
            <w:t>contributions include a</w:t>
          </w:r>
        </w:sdtContent>
      </w:sdt>
      <w:r>
        <w:rPr>
          <w:rFonts w:ascii="Times New Roman" w:hAnsi="Times New Roman"/>
          <w:sz w:val="24"/>
        </w:rPr>
        <w:t xml:space="preserve"> front-end-only simulation architecture that eliminates all deployment barriers, a nine-mechanic pedagogical framework grounded in established learning science, </w:t>
      </w:r>
      <w:sdt>
        <w:sdtPr>
          <w:rPr>
            <w:rFonts w:ascii="Times New Roman" w:hAnsi="Times New Roman"/>
            <w:sz w:val="24"/>
          </w:rPr>
          <w:tag w:val="tii-similarity-U1VCTUlUVEVEX1dPUktfb2lkOjE4MTE1OjM4MTk2NTA3MQ=="/>
          <w:id w:val="-677580978"/>
          <w:placeholder>
            <w:docPart w:val="DefaultPlaceholder_-1854013440"/>
          </w:placeholder>
          <w15:appearance w15:val="hidden"/>
        </w:sdtPr>
        <w:sdtContent>
          <w:r>
            <w:rPr>
              <w:rFonts w:ascii="Times New Roman" w:hAnsi="Times New Roman"/>
              <w:sz w:val="24"/>
            </w:rPr>
            <w:t xml:space="preserve">and </w:t>
          </w:r>
          <w:proofErr w:type="gramStart"/>
          <w:r>
            <w:rPr>
              <w:rFonts w:ascii="Times New Roman" w:hAnsi="Times New Roman"/>
              <w:sz w:val="24"/>
            </w:rPr>
            <w:t>a real participant evidence</w:t>
          </w:r>
          <w:proofErr w:type="gramEnd"/>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356713114"/>
          <w:placeholder>
            <w:docPart w:val="DefaultPlaceholder_-1854013440"/>
          </w:placeholder>
          <w15:appearance w15:val="hidden"/>
        </w:sdtPr>
        <w:sdtContent>
          <w:r>
            <w:rPr>
              <w:rFonts w:ascii="Times New Roman" w:hAnsi="Times New Roman"/>
              <w:sz w:val="24"/>
            </w:rPr>
            <w:t>base supporting</w:t>
          </w:r>
        </w:sdtContent>
      </w:sdt>
      <w:r>
        <w:rPr>
          <w:rFonts w:ascii="Times New Roman" w:hAnsi="Times New Roman"/>
          <w:sz w:val="24"/>
        </w:rPr>
        <w:t xml:space="preserve"> proof-of-concept </w:t>
      </w:r>
      <w:sdt>
        <w:sdtPr>
          <w:rPr>
            <w:rFonts w:ascii="Times New Roman" w:hAnsi="Times New Roman"/>
            <w:sz w:val="24"/>
          </w:rPr>
          <w:tag w:val="tii-similarity-U1VCTUlUVEVEX1dPUktfb2lkOjE4MTE1OjM4MTk2NTA3MQ=="/>
          <w:id w:val="371354517"/>
          <w:placeholder>
            <w:docPart w:val="DefaultPlaceholder_-1854013440"/>
          </w:placeholder>
          <w15:appearance w15:val="hidden"/>
        </w:sdtPr>
        <w:sdtContent>
          <w:r>
            <w:rPr>
              <w:rFonts w:ascii="Times New Roman" w:hAnsi="Times New Roman"/>
              <w:sz w:val="24"/>
            </w:rPr>
            <w:t>educational feasibility</w:t>
          </w:r>
        </w:sdtContent>
      </w:sdt>
      <w:r>
        <w:rPr>
          <w:rFonts w:ascii="Times New Roman" w:hAnsi="Times New Roman"/>
          <w:sz w:val="24"/>
        </w:rPr>
        <w:t>.</w:t>
      </w:r>
    </w:p>
    <w:p w14:paraId="3F2D1ECF" w14:textId="77777777" w:rsidR="00A009D4" w:rsidRDefault="00000000">
      <w:pPr>
        <w:spacing w:after="120"/>
        <w:jc w:val="both"/>
      </w:pPr>
      <w:r>
        <w:rPr>
          <w:rFonts w:ascii="Times New Roman" w:hAnsi="Times New Roman"/>
          <w:sz w:val="24"/>
        </w:rPr>
        <w:t>From a software engineering perspective, InfoGuard demonstrates that impactful educational security tools do not require complex technical infrastructure. The choice of a single HTML file deployed via GitHub Pages is not a compromise — it is a deliberate design philosophy that makes the tool genuinely accessible to any educator, student, or organisation with a web browser, without procurement, installation, IT support, or privacy risk assessment overhead. This accessibility advantage is itself a contribution to the field, demonstrating a deployment model that significantly lowers the barrier to cybersecurity awareness training adoption.</w:t>
      </w:r>
    </w:p>
    <w:p w14:paraId="4103BBE6" w14:textId="77777777" w:rsidR="00A009D4" w:rsidRDefault="00000000">
      <w:r>
        <w:br w:type="page"/>
      </w:r>
    </w:p>
    <w:p w14:paraId="474C3215" w14:textId="77777777" w:rsidR="00A009D4" w:rsidRDefault="00000000">
      <w:pPr>
        <w:spacing w:before="360" w:after="160"/>
        <w:jc w:val="center"/>
      </w:pPr>
      <w:r>
        <w:rPr>
          <w:rFonts w:ascii="Times New Roman" w:hAnsi="Times New Roman"/>
          <w:b/>
          <w:sz w:val="28"/>
        </w:rPr>
        <w:lastRenderedPageBreak/>
        <w:t>Acknowledgements</w:t>
      </w:r>
    </w:p>
    <w:p w14:paraId="512A2D10" w14:textId="3DC51E4D" w:rsidR="00A009D4" w:rsidRDefault="00000000">
      <w:pPr>
        <w:spacing w:after="120"/>
        <w:jc w:val="both"/>
      </w:pPr>
      <w:r>
        <w:rPr>
          <w:rFonts w:ascii="Times New Roman" w:hAnsi="Times New Roman"/>
          <w:sz w:val="24"/>
        </w:rPr>
        <w:t xml:space="preserve">Sincere thanks are </w:t>
      </w:r>
      <w:sdt>
        <w:sdtPr>
          <w:rPr>
            <w:rFonts w:ascii="Times New Roman" w:hAnsi="Times New Roman"/>
            <w:sz w:val="24"/>
          </w:rPr>
          <w:tag w:val="tii-similarity-U1VCTUlUVEVEX1dPUktfb2lkOjE4MTE1OjM4MTk2NTA3MQ=="/>
          <w:id w:val="-100273646"/>
          <w:placeholder>
            <w:docPart w:val="DefaultPlaceholder_-1854013440"/>
          </w:placeholder>
          <w15:appearance w15:val="hidden"/>
        </w:sdtPr>
        <w:sdtContent>
          <w:r>
            <w:rPr>
              <w:rFonts w:ascii="Times New Roman" w:hAnsi="Times New Roman"/>
              <w:sz w:val="24"/>
            </w:rPr>
            <w:t>extended to supervisors Mohammad</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372930559"/>
          <w:placeholder>
            <w:docPart w:val="DefaultPlaceholder_-1854013440"/>
          </w:placeholder>
          <w15:appearance w15:val="hidden"/>
        </w:sdtPr>
        <w:sdtContent>
          <w:r>
            <w:rPr>
              <w:rFonts w:ascii="Times New Roman" w:hAnsi="Times New Roman"/>
              <w:sz w:val="24"/>
            </w:rPr>
            <w:t>Heydari and Mahsa Zolfaghari for their guidance, constructive challenge,</w:t>
          </w:r>
        </w:sdtContent>
      </w:sdt>
      <w:r>
        <w:rPr>
          <w:rFonts w:ascii="Times New Roman" w:hAnsi="Times New Roman"/>
          <w:sz w:val="24"/>
        </w:rPr>
        <w:t xml:space="preserve"> and continued support throughout this project. Their academic insights </w:t>
      </w:r>
      <w:sdt>
        <w:sdtPr>
          <w:rPr>
            <w:rFonts w:ascii="Times New Roman" w:hAnsi="Times New Roman"/>
            <w:sz w:val="24"/>
          </w:rPr>
          <w:tag w:val="tii-similarity-U1VCTUlUVEVEX1dPUktfb2lkOjE4MTE1OjM4MTk2NTA3MQ=="/>
          <w:id w:val="-1672415561"/>
          <w:placeholder>
            <w:docPart w:val="DefaultPlaceholder_-1854013440"/>
          </w:placeholder>
          <w15:appearance w15:val="hidden"/>
        </w:sdtPr>
        <w:sdtContent>
          <w:r>
            <w:rPr>
              <w:rFonts w:ascii="Times New Roman" w:hAnsi="Times New Roman"/>
              <w:sz w:val="24"/>
            </w:rPr>
            <w:t xml:space="preserve">shaped both the </w:t>
          </w:r>
          <w:proofErr w:type="gramStart"/>
          <w:r>
            <w:rPr>
              <w:rFonts w:ascii="Times New Roman" w:hAnsi="Times New Roman"/>
              <w:sz w:val="24"/>
            </w:rPr>
            <w:t>research direction</w:t>
          </w:r>
          <w:proofErr w:type="gramEnd"/>
          <w:r>
            <w:rPr>
              <w:rFonts w:ascii="Times New Roman" w:hAnsi="Times New Roman"/>
              <w:sz w:val="24"/>
            </w:rPr>
            <w:t xml:space="preserve"> and the quality of the</w:t>
          </w:r>
        </w:sdtContent>
      </w:sdt>
      <w:r>
        <w:rPr>
          <w:rFonts w:ascii="Times New Roman" w:hAnsi="Times New Roman"/>
          <w:sz w:val="24"/>
        </w:rPr>
        <w:t xml:space="preserve"> final implementation.</w:t>
      </w:r>
    </w:p>
    <w:p w14:paraId="5A0FAC0F" w14:textId="37176910" w:rsidR="00A009D4" w:rsidRDefault="00000000">
      <w:pPr>
        <w:spacing w:after="120"/>
        <w:jc w:val="both"/>
      </w:pPr>
      <w:r>
        <w:rPr>
          <w:rFonts w:ascii="Times New Roman" w:hAnsi="Times New Roman"/>
          <w:sz w:val="24"/>
        </w:rPr>
        <w:t xml:space="preserve">Special appreciation goes to the six BSc Cybersecurity </w:t>
      </w:r>
      <w:sdt>
        <w:sdtPr>
          <w:rPr>
            <w:rFonts w:ascii="Times New Roman" w:hAnsi="Times New Roman"/>
            <w:sz w:val="24"/>
          </w:rPr>
          <w:tag w:val="tii-similarity-U1VCTUlUVEVEX1dPUktfb2lkOjE4MTE1OjM4MTk2NTA3MQ=="/>
          <w:id w:val="-565730265"/>
          <w:placeholder>
            <w:docPart w:val="DefaultPlaceholder_-1854013440"/>
          </w:placeholder>
          <w15:appearance w15:val="hidden"/>
        </w:sdtPr>
        <w:sdtContent>
          <w:r>
            <w:rPr>
              <w:rFonts w:ascii="Times New Roman" w:hAnsi="Times New Roman"/>
              <w:sz w:val="24"/>
            </w:rPr>
            <w:t>classmates</w:t>
          </w:r>
        </w:sdtContent>
      </w:sdt>
      <w:r>
        <w:rPr>
          <w:rFonts w:ascii="Times New Roman" w:hAnsi="Times New Roman"/>
          <w:sz w:val="24"/>
        </w:rPr>
        <w:t xml:space="preserve"> — P1 through P6 — </w:t>
      </w:r>
      <w:sdt>
        <w:sdtPr>
          <w:rPr>
            <w:rFonts w:ascii="Times New Roman" w:hAnsi="Times New Roman"/>
            <w:sz w:val="24"/>
          </w:rPr>
          <w:tag w:val="tii-similarity-U1VCTUlUVEVEX1dPUktfb2lkOjE4MTE1OjM4MTk2NTA3MQ=="/>
          <w:id w:val="1975329231"/>
          <w:placeholder>
            <w:docPart w:val="DefaultPlaceholder_-1854013440"/>
          </w:placeholder>
          <w15:appearance w15:val="hidden"/>
        </w:sdtPr>
        <w:sdtContent>
          <w:r>
            <w:rPr>
              <w:rFonts w:ascii="Times New Roman" w:hAnsi="Times New Roman"/>
              <w:sz w:val="24"/>
            </w:rPr>
            <w:t>who volunteered their time to participate in</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614711385"/>
          <w:placeholder>
            <w:docPart w:val="DefaultPlaceholder_-1854013440"/>
          </w:placeholder>
          <w15:appearance w15:val="hidden"/>
        </w:sdtPr>
        <w:sdtContent>
          <w:r>
            <w:rPr>
              <w:rFonts w:ascii="Times New Roman" w:hAnsi="Times New Roman"/>
              <w:sz w:val="24"/>
            </w:rPr>
            <w:t xml:space="preserve">the </w:t>
          </w:r>
          <w:proofErr w:type="spellStart"/>
          <w:r>
            <w:rPr>
              <w:rFonts w:ascii="Times New Roman" w:hAnsi="Times New Roman"/>
              <w:sz w:val="24"/>
            </w:rPr>
            <w:t>InfoGuard</w:t>
          </w:r>
          <w:proofErr w:type="spellEnd"/>
          <w:r>
            <w:rPr>
              <w:rFonts w:ascii="Times New Roman" w:hAnsi="Times New Roman"/>
              <w:sz w:val="24"/>
            </w:rPr>
            <w:t xml:space="preserve"> testing sessions and complete both questionnaires</w:t>
          </w:r>
        </w:sdtContent>
      </w:sdt>
      <w:r>
        <w:rPr>
          <w:rFonts w:ascii="Times New Roman" w:hAnsi="Times New Roman"/>
          <w:sz w:val="24"/>
        </w:rPr>
        <w:t xml:space="preserve">. Their </w:t>
      </w:r>
      <w:sdt>
        <w:sdtPr>
          <w:rPr>
            <w:rFonts w:ascii="Times New Roman" w:hAnsi="Times New Roman"/>
            <w:sz w:val="24"/>
          </w:rPr>
          <w:tag w:val="tii-similarity-U1VCTUlUVEVEX1dPUktfb2lkOjE4MTE1OjM4MTk2NTA3MQ=="/>
          <w:id w:val="1840813205"/>
          <w:placeholder>
            <w:docPart w:val="DefaultPlaceholder_-1854013440"/>
          </w:placeholder>
          <w15:appearance w15:val="hidden"/>
        </w:sdtPr>
        <w:sdtContent>
          <w:r>
            <w:rPr>
              <w:rFonts w:ascii="Times New Roman" w:hAnsi="Times New Roman"/>
              <w:sz w:val="24"/>
            </w:rPr>
            <w:t>genuine engagement and honest feedback formed the empirical backbone of</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810297749"/>
          <w:placeholder>
            <w:docPart w:val="DefaultPlaceholder_-1854013440"/>
          </w:placeholder>
          <w15:appearance w15:val="hidden"/>
        </w:sdtPr>
        <w:sdtContent>
          <w:r>
            <w:rPr>
              <w:rFonts w:ascii="Times New Roman" w:hAnsi="Times New Roman"/>
              <w:sz w:val="24"/>
            </w:rPr>
            <w:t>the evaluation. Thanks also to</w:t>
          </w:r>
        </w:sdtContent>
      </w:sdt>
      <w:r>
        <w:rPr>
          <w:rFonts w:ascii="Times New Roman" w:hAnsi="Times New Roman"/>
          <w:sz w:val="24"/>
        </w:rPr>
        <w:t xml:space="preserve"> family and friends for their patience and encouragement throughout the academic year.</w:t>
      </w:r>
    </w:p>
    <w:p w14:paraId="26488ED9" w14:textId="77777777" w:rsidR="00A009D4" w:rsidRDefault="00000000">
      <w:r>
        <w:br w:type="page"/>
      </w:r>
    </w:p>
    <w:p w14:paraId="489CD4AD" w14:textId="77777777" w:rsidR="00A009D4" w:rsidRDefault="00000000">
      <w:pPr>
        <w:spacing w:before="360" w:after="160"/>
        <w:jc w:val="center"/>
      </w:pPr>
      <w:r>
        <w:rPr>
          <w:rFonts w:ascii="Times New Roman" w:hAnsi="Times New Roman"/>
          <w:b/>
          <w:sz w:val="28"/>
        </w:rPr>
        <w:lastRenderedPageBreak/>
        <w:t>Table of Contents</w:t>
      </w:r>
    </w:p>
    <w:p w14:paraId="4397D361" w14:textId="77777777" w:rsidR="00A009D4" w:rsidRDefault="00000000">
      <w:pPr>
        <w:spacing w:after="40"/>
      </w:pPr>
      <w:r>
        <w:rPr>
          <w:rFonts w:ascii="Times New Roman" w:hAnsi="Times New Roman"/>
          <w:b/>
          <w:sz w:val="24"/>
        </w:rPr>
        <w:t>1   Introduction</w:t>
      </w:r>
    </w:p>
    <w:p w14:paraId="3295049C" w14:textId="77777777" w:rsidR="00A009D4" w:rsidRDefault="00000000">
      <w:pPr>
        <w:spacing w:after="40"/>
      </w:pPr>
      <w:r>
        <w:rPr>
          <w:rFonts w:ascii="Times New Roman" w:hAnsi="Times New Roman"/>
          <w:sz w:val="24"/>
        </w:rPr>
        <w:t>1.1   Background and Context</w:t>
      </w:r>
    </w:p>
    <w:p w14:paraId="19DE9C62" w14:textId="77777777" w:rsidR="00A009D4" w:rsidRDefault="00000000">
      <w:pPr>
        <w:spacing w:after="40"/>
      </w:pPr>
      <w:r>
        <w:rPr>
          <w:rFonts w:ascii="Times New Roman" w:hAnsi="Times New Roman"/>
          <w:sz w:val="24"/>
        </w:rPr>
        <w:t>1.2   Problem Statement</w:t>
      </w:r>
    </w:p>
    <w:p w14:paraId="0C220890" w14:textId="77777777" w:rsidR="00A009D4" w:rsidRDefault="00000000">
      <w:pPr>
        <w:spacing w:after="40"/>
      </w:pPr>
      <w:r>
        <w:rPr>
          <w:rFonts w:ascii="Times New Roman" w:hAnsi="Times New Roman"/>
          <w:sz w:val="24"/>
        </w:rPr>
        <w:t>1.3   Aim and Objectives</w:t>
      </w:r>
    </w:p>
    <w:p w14:paraId="10AF2F31" w14:textId="77777777" w:rsidR="00A009D4" w:rsidRDefault="00000000">
      <w:pPr>
        <w:spacing w:after="40"/>
      </w:pPr>
      <w:r>
        <w:rPr>
          <w:rFonts w:ascii="Times New Roman" w:hAnsi="Times New Roman"/>
          <w:sz w:val="24"/>
        </w:rPr>
        <w:t>1.4   Scope and Limitations</w:t>
      </w:r>
    </w:p>
    <w:p w14:paraId="2BB22B17" w14:textId="77777777" w:rsidR="00A009D4" w:rsidRDefault="00000000">
      <w:pPr>
        <w:spacing w:after="40"/>
      </w:pPr>
      <w:r>
        <w:rPr>
          <w:rFonts w:ascii="Times New Roman" w:hAnsi="Times New Roman"/>
          <w:sz w:val="24"/>
        </w:rPr>
        <w:t>1.5   Report Structure</w:t>
      </w:r>
    </w:p>
    <w:p w14:paraId="6D2BE559" w14:textId="77777777" w:rsidR="00A009D4" w:rsidRDefault="00000000">
      <w:pPr>
        <w:spacing w:after="40"/>
      </w:pPr>
      <w:r>
        <w:rPr>
          <w:rFonts w:ascii="Times New Roman" w:hAnsi="Times New Roman"/>
          <w:b/>
          <w:sz w:val="24"/>
        </w:rPr>
        <w:t>2   Literature Review</w:t>
      </w:r>
    </w:p>
    <w:p w14:paraId="480A78EC" w14:textId="77777777" w:rsidR="00A009D4" w:rsidRDefault="00000000">
      <w:pPr>
        <w:spacing w:after="40"/>
      </w:pPr>
      <w:r>
        <w:rPr>
          <w:rFonts w:ascii="Times New Roman" w:hAnsi="Times New Roman"/>
          <w:sz w:val="24"/>
        </w:rPr>
        <w:t>2.1   The Human Factor in Cybersecurity</w:t>
      </w:r>
    </w:p>
    <w:p w14:paraId="54CDDDA9" w14:textId="77777777" w:rsidR="00A009D4" w:rsidRDefault="00000000">
      <w:pPr>
        <w:spacing w:after="40"/>
      </w:pPr>
      <w:r>
        <w:rPr>
          <w:rFonts w:ascii="Times New Roman" w:hAnsi="Times New Roman"/>
          <w:sz w:val="24"/>
        </w:rPr>
        <w:t>2.2   Phishing: Taxonomy and Psychological Mechanisms</w:t>
      </w:r>
    </w:p>
    <w:p w14:paraId="78BD73C2" w14:textId="77777777" w:rsidR="00A009D4" w:rsidRDefault="00000000">
      <w:pPr>
        <w:spacing w:after="40"/>
      </w:pPr>
      <w:r>
        <w:rPr>
          <w:rFonts w:ascii="Times New Roman" w:hAnsi="Times New Roman"/>
          <w:sz w:val="24"/>
        </w:rPr>
        <w:t>2.3   Gamification and Learning Science</w:t>
      </w:r>
    </w:p>
    <w:p w14:paraId="170ED1BD" w14:textId="77777777" w:rsidR="00A009D4" w:rsidRDefault="00000000">
      <w:pPr>
        <w:spacing w:after="40"/>
      </w:pPr>
      <w:r>
        <w:rPr>
          <w:rFonts w:ascii="Times New Roman" w:hAnsi="Times New Roman"/>
          <w:sz w:val="24"/>
        </w:rPr>
        <w:t>2.4   Existing Training Approaches</w:t>
      </w:r>
    </w:p>
    <w:p w14:paraId="2E9107AB" w14:textId="77777777" w:rsidR="00A009D4" w:rsidRDefault="00000000">
      <w:pPr>
        <w:spacing w:after="40"/>
      </w:pPr>
      <w:r>
        <w:rPr>
          <w:rFonts w:ascii="Times New Roman" w:hAnsi="Times New Roman"/>
          <w:sz w:val="24"/>
        </w:rPr>
        <w:t>2.5   Critical Synthesis and Research Gap</w:t>
      </w:r>
    </w:p>
    <w:p w14:paraId="0CDFF3F4" w14:textId="77777777" w:rsidR="00A009D4" w:rsidRDefault="00000000">
      <w:pPr>
        <w:spacing w:after="40"/>
      </w:pPr>
      <w:r>
        <w:rPr>
          <w:rFonts w:ascii="Times New Roman" w:hAnsi="Times New Roman"/>
          <w:b/>
          <w:sz w:val="24"/>
        </w:rPr>
        <w:t>3   Methodology</w:t>
      </w:r>
    </w:p>
    <w:p w14:paraId="069EA066" w14:textId="77777777" w:rsidR="00A009D4" w:rsidRDefault="00000000">
      <w:pPr>
        <w:spacing w:after="40"/>
      </w:pPr>
      <w:r>
        <w:rPr>
          <w:rFonts w:ascii="Times New Roman" w:hAnsi="Times New Roman"/>
          <w:sz w:val="24"/>
        </w:rPr>
        <w:t>3.1   Research Design</w:t>
      </w:r>
    </w:p>
    <w:p w14:paraId="0E7C2AD8" w14:textId="77777777" w:rsidR="00A009D4" w:rsidRDefault="00000000">
      <w:pPr>
        <w:spacing w:after="40"/>
      </w:pPr>
      <w:r>
        <w:rPr>
          <w:rFonts w:ascii="Times New Roman" w:hAnsi="Times New Roman"/>
          <w:sz w:val="24"/>
        </w:rPr>
        <w:t>3.2   Development Approach</w:t>
      </w:r>
    </w:p>
    <w:p w14:paraId="4C846660" w14:textId="77777777" w:rsidR="00A009D4" w:rsidRDefault="00000000">
      <w:pPr>
        <w:spacing w:after="40"/>
      </w:pPr>
      <w:r>
        <w:rPr>
          <w:rFonts w:ascii="Times New Roman" w:hAnsi="Times New Roman"/>
          <w:sz w:val="24"/>
        </w:rPr>
        <w:t>3.3   Data Collection and Analysis</w:t>
      </w:r>
    </w:p>
    <w:p w14:paraId="0E585CC6" w14:textId="77777777" w:rsidR="00A009D4" w:rsidRDefault="00000000">
      <w:pPr>
        <w:spacing w:after="40"/>
      </w:pPr>
      <w:r>
        <w:rPr>
          <w:rFonts w:ascii="Times New Roman" w:hAnsi="Times New Roman"/>
          <w:sz w:val="24"/>
        </w:rPr>
        <w:t>3.4   Ethical Framework</w:t>
      </w:r>
    </w:p>
    <w:p w14:paraId="6EEBE0FB" w14:textId="77777777" w:rsidR="00A009D4" w:rsidRDefault="00000000">
      <w:pPr>
        <w:spacing w:after="40"/>
      </w:pPr>
      <w:r>
        <w:rPr>
          <w:rFonts w:ascii="Times New Roman" w:hAnsi="Times New Roman"/>
          <w:b/>
          <w:sz w:val="24"/>
        </w:rPr>
        <w:t>4   System Design</w:t>
      </w:r>
    </w:p>
    <w:p w14:paraId="6A230134" w14:textId="77777777" w:rsidR="00A009D4" w:rsidRDefault="00000000">
      <w:pPr>
        <w:spacing w:after="40"/>
      </w:pPr>
      <w:r>
        <w:rPr>
          <w:rFonts w:ascii="Times New Roman" w:hAnsi="Times New Roman"/>
          <w:sz w:val="24"/>
        </w:rPr>
        <w:t>4.1   Design Principles</w:t>
      </w:r>
    </w:p>
    <w:p w14:paraId="5BF22A31" w14:textId="77777777" w:rsidR="00A009D4" w:rsidRDefault="00000000">
      <w:pPr>
        <w:spacing w:after="40"/>
      </w:pPr>
      <w:r>
        <w:rPr>
          <w:rFonts w:ascii="Times New Roman" w:hAnsi="Times New Roman"/>
          <w:sz w:val="24"/>
        </w:rPr>
        <w:t>4.2   Platform Architecture</w:t>
      </w:r>
    </w:p>
    <w:p w14:paraId="74496EC4" w14:textId="77777777" w:rsidR="00A009D4" w:rsidRDefault="00000000">
      <w:pPr>
        <w:spacing w:after="40"/>
      </w:pPr>
      <w:r>
        <w:rPr>
          <w:rFonts w:ascii="Times New Roman" w:hAnsi="Times New Roman"/>
          <w:sz w:val="24"/>
        </w:rPr>
        <w:t>4.3   Scenario and Feedback Engine</w:t>
      </w:r>
    </w:p>
    <w:p w14:paraId="402B54A8" w14:textId="77777777" w:rsidR="00A009D4" w:rsidRDefault="00000000">
      <w:pPr>
        <w:spacing w:after="40"/>
      </w:pPr>
      <w:r>
        <w:rPr>
          <w:rFonts w:ascii="Times New Roman" w:hAnsi="Times New Roman"/>
          <w:sz w:val="24"/>
        </w:rPr>
        <w:t>4.4   Pedagogical Design Framework</w:t>
      </w:r>
    </w:p>
    <w:p w14:paraId="595B89D2" w14:textId="77777777" w:rsidR="00A009D4" w:rsidRDefault="00000000">
      <w:pPr>
        <w:spacing w:after="40"/>
      </w:pPr>
      <w:r>
        <w:rPr>
          <w:rFonts w:ascii="Times New Roman" w:hAnsi="Times New Roman"/>
          <w:b/>
          <w:sz w:val="24"/>
        </w:rPr>
        <w:t>5   Implementation</w:t>
      </w:r>
    </w:p>
    <w:p w14:paraId="27C3207F" w14:textId="77777777" w:rsidR="00A009D4" w:rsidRDefault="00000000">
      <w:pPr>
        <w:spacing w:after="40"/>
      </w:pPr>
      <w:r>
        <w:rPr>
          <w:rFonts w:ascii="Times New Roman" w:hAnsi="Times New Roman"/>
          <w:sz w:val="24"/>
        </w:rPr>
        <w:t>5.1   Technology Stack and Environment</w:t>
      </w:r>
    </w:p>
    <w:p w14:paraId="03C26E80" w14:textId="77777777" w:rsidR="00A009D4" w:rsidRDefault="00000000">
      <w:pPr>
        <w:spacing w:after="40"/>
      </w:pPr>
      <w:r>
        <w:rPr>
          <w:rFonts w:ascii="Times New Roman" w:hAnsi="Times New Roman"/>
          <w:sz w:val="24"/>
        </w:rPr>
        <w:t>5.2   Three.js Particle Background</w:t>
      </w:r>
    </w:p>
    <w:p w14:paraId="5515C71E" w14:textId="77777777" w:rsidR="00A009D4" w:rsidRDefault="00000000">
      <w:pPr>
        <w:spacing w:after="40"/>
      </w:pPr>
      <w:r>
        <w:rPr>
          <w:rFonts w:ascii="Times New Roman" w:hAnsi="Times New Roman"/>
          <w:sz w:val="24"/>
        </w:rPr>
        <w:t>5.3   Smartphone Simulation Interface</w:t>
      </w:r>
    </w:p>
    <w:p w14:paraId="3F84A097" w14:textId="77777777" w:rsidR="00A009D4" w:rsidRDefault="00000000">
      <w:pPr>
        <w:spacing w:after="40"/>
      </w:pPr>
      <w:r>
        <w:rPr>
          <w:rFonts w:ascii="Times New Roman" w:hAnsi="Times New Roman"/>
          <w:sz w:val="24"/>
        </w:rPr>
        <w:t>5.4   Scenario Engine and Profile Generation</w:t>
      </w:r>
    </w:p>
    <w:p w14:paraId="5E11A0C3" w14:textId="77777777" w:rsidR="00A009D4" w:rsidRDefault="00000000">
      <w:pPr>
        <w:spacing w:after="40"/>
      </w:pPr>
      <w:r>
        <w:rPr>
          <w:rFonts w:ascii="Times New Roman" w:hAnsi="Times New Roman"/>
          <w:sz w:val="24"/>
        </w:rPr>
        <w:t>5.5   Feedback, Scoring, and Scorecard</w:t>
      </w:r>
    </w:p>
    <w:p w14:paraId="655145DC" w14:textId="77777777" w:rsidR="00A009D4" w:rsidRDefault="00000000">
      <w:pPr>
        <w:spacing w:after="40"/>
      </w:pPr>
      <w:r>
        <w:rPr>
          <w:rFonts w:ascii="Times New Roman" w:hAnsi="Times New Roman"/>
          <w:sz w:val="24"/>
        </w:rPr>
        <w:t>5.6   GitHub Pages Deployment</w:t>
      </w:r>
    </w:p>
    <w:p w14:paraId="79F1EDC6" w14:textId="77777777" w:rsidR="00A009D4" w:rsidRDefault="00000000">
      <w:pPr>
        <w:spacing w:after="40"/>
      </w:pPr>
      <w:r>
        <w:rPr>
          <w:rFonts w:ascii="Times New Roman" w:hAnsi="Times New Roman"/>
          <w:b/>
          <w:sz w:val="24"/>
        </w:rPr>
        <w:t>6   Testing and Evaluation</w:t>
      </w:r>
    </w:p>
    <w:p w14:paraId="513BB180" w14:textId="77777777" w:rsidR="00A009D4" w:rsidRDefault="00000000">
      <w:pPr>
        <w:spacing w:after="40"/>
      </w:pPr>
      <w:r>
        <w:rPr>
          <w:rFonts w:ascii="Times New Roman" w:hAnsi="Times New Roman"/>
          <w:sz w:val="24"/>
        </w:rPr>
        <w:t>6.1   Functional Testing</w:t>
      </w:r>
    </w:p>
    <w:p w14:paraId="7A155CFA" w14:textId="77777777" w:rsidR="00A009D4" w:rsidRDefault="00000000">
      <w:pPr>
        <w:spacing w:after="40"/>
      </w:pPr>
      <w:r>
        <w:rPr>
          <w:rFonts w:ascii="Times New Roman" w:hAnsi="Times New Roman"/>
          <w:sz w:val="24"/>
        </w:rPr>
        <w:t>6.2   Cross-Browser Compatibility</w:t>
      </w:r>
    </w:p>
    <w:p w14:paraId="209CEF17" w14:textId="77777777" w:rsidR="00A009D4" w:rsidRDefault="00000000">
      <w:pPr>
        <w:spacing w:after="40"/>
      </w:pPr>
      <w:r>
        <w:rPr>
          <w:rFonts w:ascii="Times New Roman" w:hAnsi="Times New Roman"/>
          <w:sz w:val="24"/>
        </w:rPr>
        <w:t>6.3   Participant Evaluation Protocol</w:t>
      </w:r>
    </w:p>
    <w:p w14:paraId="3F8CFA08" w14:textId="77777777" w:rsidR="00A009D4" w:rsidRDefault="00000000">
      <w:pPr>
        <w:spacing w:after="40"/>
      </w:pPr>
      <w:r>
        <w:rPr>
          <w:rFonts w:ascii="Times New Roman" w:hAnsi="Times New Roman"/>
          <w:b/>
          <w:sz w:val="24"/>
        </w:rPr>
        <w:t>7   Ethical and Legal Considerations</w:t>
      </w:r>
    </w:p>
    <w:p w14:paraId="1E60D2FC" w14:textId="77777777" w:rsidR="00A009D4" w:rsidRDefault="00000000">
      <w:pPr>
        <w:spacing w:after="40"/>
      </w:pPr>
      <w:r>
        <w:rPr>
          <w:rFonts w:ascii="Times New Roman" w:hAnsi="Times New Roman"/>
          <w:b/>
          <w:sz w:val="24"/>
        </w:rPr>
        <w:t>8   Results and Discussion</w:t>
      </w:r>
    </w:p>
    <w:p w14:paraId="038ACB5E" w14:textId="77777777" w:rsidR="00A009D4" w:rsidRDefault="00000000">
      <w:pPr>
        <w:spacing w:after="40"/>
      </w:pPr>
      <w:r>
        <w:rPr>
          <w:rFonts w:ascii="Times New Roman" w:hAnsi="Times New Roman"/>
          <w:sz w:val="24"/>
        </w:rPr>
        <w:lastRenderedPageBreak/>
        <w:t>8.1   Pre-Game Questionnaire Findings</w:t>
      </w:r>
    </w:p>
    <w:p w14:paraId="7EA88300" w14:textId="77777777" w:rsidR="00A009D4" w:rsidRDefault="00000000">
      <w:pPr>
        <w:spacing w:after="40"/>
      </w:pPr>
      <w:r>
        <w:rPr>
          <w:rFonts w:ascii="Times New Roman" w:hAnsi="Times New Roman"/>
          <w:sz w:val="24"/>
        </w:rPr>
        <w:t>8.2   Post-Game Questionnaire Findings</w:t>
      </w:r>
    </w:p>
    <w:p w14:paraId="21B69D80" w14:textId="77777777" w:rsidR="00A009D4" w:rsidRDefault="00000000">
      <w:pPr>
        <w:spacing w:after="40"/>
      </w:pPr>
      <w:r>
        <w:rPr>
          <w:rFonts w:ascii="Times New Roman" w:hAnsi="Times New Roman"/>
          <w:sz w:val="24"/>
        </w:rPr>
        <w:t>8.3   Critical Discussion</w:t>
      </w:r>
    </w:p>
    <w:p w14:paraId="75C4ECC5" w14:textId="77777777" w:rsidR="00A009D4" w:rsidRDefault="00000000">
      <w:pPr>
        <w:spacing w:after="40"/>
      </w:pPr>
      <w:r>
        <w:rPr>
          <w:rFonts w:ascii="Times New Roman" w:hAnsi="Times New Roman"/>
          <w:b/>
          <w:sz w:val="24"/>
        </w:rPr>
        <w:t>9   Conclusion and Future Work</w:t>
      </w:r>
    </w:p>
    <w:p w14:paraId="1EBC4764" w14:textId="77777777" w:rsidR="00A009D4" w:rsidRDefault="00000000">
      <w:pPr>
        <w:spacing w:after="40"/>
      </w:pPr>
      <w:r>
        <w:rPr>
          <w:rFonts w:ascii="Times New Roman" w:hAnsi="Times New Roman"/>
          <w:sz w:val="24"/>
        </w:rPr>
        <w:t>9.1   Summary of Findings</w:t>
      </w:r>
    </w:p>
    <w:p w14:paraId="380B8AB1" w14:textId="77777777" w:rsidR="00A009D4" w:rsidRDefault="00000000">
      <w:pPr>
        <w:spacing w:after="40"/>
      </w:pPr>
      <w:r>
        <w:rPr>
          <w:rFonts w:ascii="Times New Roman" w:hAnsi="Times New Roman"/>
          <w:sz w:val="24"/>
        </w:rPr>
        <w:t>9.2   Objectives Review</w:t>
      </w:r>
    </w:p>
    <w:p w14:paraId="2DD46718" w14:textId="77777777" w:rsidR="00A009D4" w:rsidRDefault="00000000">
      <w:pPr>
        <w:spacing w:after="40"/>
      </w:pPr>
      <w:r>
        <w:rPr>
          <w:rFonts w:ascii="Times New Roman" w:hAnsi="Times New Roman"/>
          <w:sz w:val="24"/>
        </w:rPr>
        <w:t>9.3   Future Work</w:t>
      </w:r>
    </w:p>
    <w:p w14:paraId="4883BF70" w14:textId="77777777" w:rsidR="00A009D4" w:rsidRDefault="00000000">
      <w:pPr>
        <w:spacing w:after="40"/>
      </w:pPr>
      <w:r>
        <w:rPr>
          <w:rFonts w:ascii="Times New Roman" w:hAnsi="Times New Roman"/>
          <w:b/>
          <w:sz w:val="24"/>
        </w:rPr>
        <w:t>10   References (IEEE Format)</w:t>
      </w:r>
    </w:p>
    <w:p w14:paraId="0153FC9D" w14:textId="11DC7A46" w:rsidR="00A009D4" w:rsidRDefault="00000000">
      <w:pPr>
        <w:spacing w:after="40"/>
      </w:pPr>
      <w:r>
        <w:rPr>
          <w:rFonts w:ascii="Times New Roman" w:hAnsi="Times New Roman"/>
          <w:sz w:val="24"/>
        </w:rPr>
        <w:t xml:space="preserve">    </w:t>
      </w:r>
      <w:sdt>
        <w:sdtPr>
          <w:rPr>
            <w:rFonts w:ascii="Times New Roman" w:hAnsi="Times New Roman"/>
            <w:sz w:val="24"/>
          </w:rPr>
          <w:tag w:val="tii-similarity-U1VCTUlUVEVEX1dPUktfb2lkOjE4MTE1OjM4MTk2NTA3MQ=="/>
          <w:id w:val="-1533643938"/>
          <w:placeholder>
            <w:docPart w:val="DefaultPlaceholder_-1854013440"/>
          </w:placeholder>
          <w15:appearance w15:val="hidden"/>
        </w:sdtPr>
        <w:sdtContent>
          <w:r>
            <w:rPr>
              <w:rFonts w:ascii="Times New Roman" w:hAnsi="Times New Roman"/>
              <w:sz w:val="24"/>
            </w:rPr>
            <w:t>Appendix A — Pre-Game Questionnaire Raw Data</w:t>
          </w:r>
        </w:sdtContent>
      </w:sdt>
    </w:p>
    <w:p w14:paraId="0E0ECD1C" w14:textId="094D4E44" w:rsidR="00A009D4" w:rsidRDefault="00000000">
      <w:pPr>
        <w:spacing w:after="40"/>
      </w:pPr>
      <w:r>
        <w:rPr>
          <w:rFonts w:ascii="Times New Roman" w:hAnsi="Times New Roman"/>
          <w:sz w:val="24"/>
        </w:rPr>
        <w:t xml:space="preserve">    </w:t>
      </w:r>
      <w:sdt>
        <w:sdtPr>
          <w:rPr>
            <w:rFonts w:ascii="Times New Roman" w:hAnsi="Times New Roman"/>
            <w:sz w:val="24"/>
          </w:rPr>
          <w:tag w:val="tii-similarity-U1VCTUlUVEVEX1dPUktfb2lkOjE4MTE1OjM4MTk2NTA3MQ=="/>
          <w:id w:val="-343944549"/>
          <w:placeholder>
            <w:docPart w:val="DefaultPlaceholder_-1854013440"/>
          </w:placeholder>
          <w15:appearance w15:val="hidden"/>
        </w:sdtPr>
        <w:sdtContent>
          <w:r>
            <w:rPr>
              <w:rFonts w:ascii="Times New Roman" w:hAnsi="Times New Roman"/>
              <w:sz w:val="24"/>
            </w:rPr>
            <w:t>Appendix B — Post-Game Questionnaire Raw Data</w:t>
          </w:r>
        </w:sdtContent>
      </w:sdt>
    </w:p>
    <w:p w14:paraId="68DF55E1" w14:textId="77777777" w:rsidR="00A009D4" w:rsidRDefault="00000000">
      <w:pPr>
        <w:spacing w:after="40"/>
      </w:pPr>
      <w:r>
        <w:rPr>
          <w:rFonts w:ascii="Times New Roman" w:hAnsi="Times New Roman"/>
          <w:sz w:val="24"/>
        </w:rPr>
        <w:t xml:space="preserve">    Appendix C — Risk Assessment</w:t>
      </w:r>
    </w:p>
    <w:p w14:paraId="5AEE929C" w14:textId="77777777" w:rsidR="00A009D4" w:rsidRDefault="00000000">
      <w:pPr>
        <w:spacing w:after="40"/>
      </w:pPr>
      <w:r>
        <w:rPr>
          <w:rFonts w:ascii="Times New Roman" w:hAnsi="Times New Roman"/>
          <w:sz w:val="24"/>
        </w:rPr>
        <w:t xml:space="preserve">    Appendix D — Participant Consent Note</w:t>
      </w:r>
    </w:p>
    <w:p w14:paraId="0D7B4231" w14:textId="77777777" w:rsidR="00A009D4" w:rsidRDefault="00000000">
      <w:pPr>
        <w:spacing w:after="40"/>
      </w:pPr>
      <w:r>
        <w:rPr>
          <w:rFonts w:ascii="Times New Roman" w:hAnsi="Times New Roman"/>
          <w:sz w:val="24"/>
        </w:rPr>
        <w:t xml:space="preserve">    Appendix E — Full Game Source Code</w:t>
      </w:r>
    </w:p>
    <w:p w14:paraId="4CA70B45" w14:textId="77777777" w:rsidR="00A009D4" w:rsidRDefault="00000000">
      <w:r>
        <w:br w:type="page"/>
      </w:r>
    </w:p>
    <w:p w14:paraId="3F683C1E" w14:textId="77777777" w:rsidR="00A009D4" w:rsidRDefault="00000000">
      <w:pPr>
        <w:spacing w:before="360" w:after="160"/>
        <w:jc w:val="center"/>
      </w:pPr>
      <w:r>
        <w:rPr>
          <w:rFonts w:ascii="Times New Roman" w:hAnsi="Times New Roman"/>
          <w:b/>
          <w:sz w:val="28"/>
        </w:rPr>
        <w:lastRenderedPageBreak/>
        <w:t>Chapter 1: Introduction</w:t>
      </w:r>
    </w:p>
    <w:p w14:paraId="1CD733E0" w14:textId="77777777" w:rsidR="00A009D4" w:rsidRDefault="00000000">
      <w:pPr>
        <w:keepNext/>
        <w:spacing w:before="280" w:after="80"/>
      </w:pPr>
      <w:r>
        <w:rPr>
          <w:rFonts w:ascii="Times New Roman" w:hAnsi="Times New Roman"/>
          <w:b/>
          <w:sz w:val="24"/>
        </w:rPr>
        <w:t>1.1 Background and Context</w:t>
      </w:r>
    </w:p>
    <w:p w14:paraId="06EDDE36" w14:textId="17AD6366" w:rsidR="00A009D4" w:rsidRDefault="00000000">
      <w:pPr>
        <w:spacing w:after="120"/>
        <w:jc w:val="both"/>
      </w:pPr>
      <w:r>
        <w:rPr>
          <w:rFonts w:ascii="Times New Roman" w:hAnsi="Times New Roman"/>
          <w:sz w:val="24"/>
        </w:rPr>
        <w:t xml:space="preserve">Cybersecurity threats continue to grow in scale and sophistication, yet phishing remains the most reliably effective attack vector in the modern threat landscape. According to the Verizon Data Breach Investigations Report (DBIR) 2024, </w:t>
      </w:r>
      <w:sdt>
        <w:sdtPr>
          <w:rPr>
            <w:rFonts w:ascii="Times New Roman" w:hAnsi="Times New Roman"/>
            <w:sz w:val="24"/>
          </w:rPr>
          <w:tag w:val="tii-similarity-U1VCTUlUVEVEX1dPUktfb2lkOjE4MTE1OjM4MTk2NTA3MQ=="/>
          <w:id w:val="-1371832429"/>
          <w:placeholder>
            <w:docPart w:val="DefaultPlaceholder_-1854013440"/>
          </w:placeholder>
          <w15:appearance w15:val="hidden"/>
        </w:sdtPr>
        <w:sdtContent>
          <w:r>
            <w:rPr>
              <w:rFonts w:ascii="Times New Roman" w:hAnsi="Times New Roman"/>
              <w:sz w:val="24"/>
            </w:rPr>
            <w:t>82% of all confirmed data breaches involve the human element, with</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1786539106"/>
          <w:placeholder>
            <w:docPart w:val="DefaultPlaceholder_-1854013440"/>
          </w:placeholder>
          <w15:appearance w15:val="hidden"/>
        </w:sdtPr>
        <w:sdtContent>
          <w:r>
            <w:rPr>
              <w:rFonts w:ascii="Times New Roman" w:hAnsi="Times New Roman"/>
              <w:sz w:val="24"/>
            </w:rPr>
            <w:t>phishing and social engineering accounting for</w:t>
          </w:r>
        </w:sdtContent>
      </w:sdt>
      <w:r>
        <w:rPr>
          <w:rFonts w:ascii="Times New Roman" w:hAnsi="Times New Roman"/>
          <w:sz w:val="24"/>
        </w:rPr>
        <w:t xml:space="preserve"> the </w:t>
      </w:r>
      <w:sdt>
        <w:sdtPr>
          <w:rPr>
            <w:rFonts w:ascii="Times New Roman" w:hAnsi="Times New Roman"/>
            <w:sz w:val="24"/>
          </w:rPr>
          <w:tag w:val="tii-similarity-U1VCTUlUVEVEX1dPUktfb2lkOjE4MTE1OjM4MTk2NTA3MQ=="/>
          <w:id w:val="579178624"/>
          <w:placeholder>
            <w:docPart w:val="DefaultPlaceholder_-1854013440"/>
          </w:placeholder>
          <w15:appearance w15:val="hidden"/>
        </w:sdtPr>
        <w:sdtContent>
          <w:r>
            <w:rPr>
              <w:rFonts w:ascii="Times New Roman" w:hAnsi="Times New Roman"/>
              <w:sz w:val="24"/>
            </w:rPr>
            <w:t>dominant share of</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476763060"/>
          <w:placeholder>
            <w:docPart w:val="DefaultPlaceholder_-1854013440"/>
          </w:placeholder>
          <w15:appearance w15:val="hidden"/>
        </w:sdtPr>
        <w:sdtContent>
          <w:r>
            <w:rPr>
              <w:rFonts w:ascii="Times New Roman" w:hAnsi="Times New Roman"/>
              <w:sz w:val="24"/>
            </w:rPr>
            <w:t>initial access vectors</w:t>
          </w:r>
        </w:sdtContent>
      </w:sdt>
      <w:r>
        <w:rPr>
          <w:rFonts w:ascii="Times New Roman" w:hAnsi="Times New Roman"/>
          <w:sz w:val="24"/>
        </w:rPr>
        <w:t xml:space="preserve"> [1]. In the United Kingdom, the National Cyber Security Centre (NCSC) estimated that phishing-related incidents cost domestic organisations approximately £2.3 billion in 2023 alone [2]. These are not simply statistics — they reflect a systemic and ongoing failure to translate theoretical security awareness into real behavioural change.</w:t>
      </w:r>
    </w:p>
    <w:p w14:paraId="6E727C2E" w14:textId="77777777" w:rsidR="00A009D4" w:rsidRDefault="00000000">
      <w:pPr>
        <w:spacing w:after="120"/>
        <w:jc w:val="both"/>
      </w:pPr>
      <w:r>
        <w:rPr>
          <w:rFonts w:ascii="Times New Roman" w:hAnsi="Times New Roman"/>
          <w:sz w:val="24"/>
        </w:rPr>
        <w:t>The challenge is compounded by the rapid evolution of phishing techniques. Modern phishing attacks no longer rely solely on poorly written mass-email campaigns that are relatively easy to identify. Contemporary attackers leverage artificial intelligence to generate highly convincing personalised messages, exploit compromised legitimate accounts to send phishing content through trusted channels, and increasingly target social media direct messages — a vector for which most existing training programmes provide little specific preparation. The UK NCSC's 2024 annual review identified social media impersonation as one of the fastest-growing phishing delivery vectors, with reported incidents increasing by 34% year-on-year [2]. InfoGuard was designed specifically to address training for this emerging and under-served attack surface.</w:t>
      </w:r>
    </w:p>
    <w:p w14:paraId="3912E440" w14:textId="77777777" w:rsidR="00A009D4" w:rsidRDefault="00000000">
      <w:pPr>
        <w:spacing w:after="120"/>
        <w:jc w:val="both"/>
      </w:pPr>
      <w:r>
        <w:rPr>
          <w:rFonts w:ascii="Times New Roman" w:hAnsi="Times New Roman"/>
          <w:sz w:val="24"/>
        </w:rPr>
        <w:t>The financial consequences of successful phishing extend well beyond the immediate incident. IBM's Cost of a Data Breach Report 2023 estimates the average cost of a data breach originating from a phishing attack at $4.76 million USD — significantly higher than the overall average breach cost of $4.45 million. For smaller organisations without dedicated security operations teams, a single successful phishing incident can result in operational disruption, regulatory penalties under UK GDPR, reputational damage, and loss of customer trust that disproportionately impacts long-term revenue. These financial realities reinforce the urgency of investing in effective, scalable phishing awareness training that reaches all employees regardless of technical background — precisely the audience profile that InfoGuard's zero-friction browser-based design is positioned to serve.</w:t>
      </w:r>
    </w:p>
    <w:p w14:paraId="24CB48B0" w14:textId="1BA90AAF" w:rsidR="00A009D4" w:rsidRDefault="000A493E">
      <w:pPr>
        <w:spacing w:after="120"/>
        <w:jc w:val="both"/>
      </w:pPr>
      <w:sdt>
        <w:sdtPr>
          <w:rPr>
            <w:rFonts w:ascii="Times New Roman" w:hAnsi="Times New Roman"/>
            <w:sz w:val="24"/>
          </w:rPr>
          <w:tag w:val="tii-similarity-U1VCTUlUVEVEX1dPUktfb2lkOjE4MTE1OjM4MTk2NTA3MQ=="/>
          <w:id w:val="2039699620"/>
          <w:placeholder>
            <w:docPart w:val="DefaultPlaceholder_-1854013440"/>
          </w:placeholder>
          <w15:appearance w15:val="hidden"/>
        </w:sdtPr>
        <w:sdtContent>
          <w:r w:rsidR="00000000">
            <w:rPr>
              <w:rFonts w:ascii="Times New Roman" w:hAnsi="Times New Roman"/>
              <w:sz w:val="24"/>
            </w:rPr>
            <w:t>Despite decades of</w:t>
          </w:r>
        </w:sdtContent>
      </w:sdt>
      <w:r w:rsidR="00000000">
        <w:rPr>
          <w:rFonts w:ascii="Times New Roman" w:hAnsi="Times New Roman"/>
          <w:sz w:val="24"/>
        </w:rPr>
        <w:t xml:space="preserve"> </w:t>
      </w:r>
      <w:sdt>
        <w:sdtPr>
          <w:rPr>
            <w:rFonts w:ascii="Times New Roman" w:hAnsi="Times New Roman"/>
            <w:sz w:val="24"/>
          </w:rPr>
          <w:tag w:val="tii-similarity-U1VCTUlUVEVEX1dPUktfb2lkOjE4MTE1OjM4MTk2NTA3MQ=="/>
          <w:id w:val="974637366"/>
          <w:placeholder>
            <w:docPart w:val="DefaultPlaceholder_-1854013440"/>
          </w:placeholder>
          <w15:appearance w15:val="hidden"/>
        </w:sdtPr>
        <w:sdtContent>
          <w:r w:rsidR="00000000">
            <w:rPr>
              <w:rFonts w:ascii="Times New Roman" w:hAnsi="Times New Roman"/>
              <w:sz w:val="24"/>
            </w:rPr>
            <w:t>investment in cybersecurity awareness training</w:t>
          </w:r>
        </w:sdtContent>
      </w:sdt>
      <w:r w:rsidR="00000000">
        <w:rPr>
          <w:rFonts w:ascii="Times New Roman" w:hAnsi="Times New Roman"/>
          <w:sz w:val="24"/>
        </w:rPr>
        <w:t xml:space="preserve">, research consistently shows that traditional instructional formats produce limited and short-lived improvement. Anderson and </w:t>
      </w:r>
      <w:sdt>
        <w:sdtPr>
          <w:rPr>
            <w:rFonts w:ascii="Times New Roman" w:hAnsi="Times New Roman"/>
            <w:sz w:val="24"/>
          </w:rPr>
          <w:tag w:val="tii-similarity-U1VCTUlUVEVEX1dPUktfb2lkOjE4MTE1OjM4MTk2NTA3MQ=="/>
          <w:id w:val="-923640521"/>
          <w:placeholder>
            <w:docPart w:val="DefaultPlaceholder_-1854013440"/>
          </w:placeholder>
          <w15:appearance w15:val="hidden"/>
        </w:sdtPr>
        <w:sdtContent>
          <w:r w:rsidR="00000000">
            <w:rPr>
              <w:rFonts w:ascii="Times New Roman" w:hAnsi="Times New Roman"/>
              <w:sz w:val="24"/>
            </w:rPr>
            <w:t>Martin's (2023) meta-analysis of 23</w:t>
          </w:r>
        </w:sdtContent>
      </w:sdt>
      <w:r w:rsidR="00000000">
        <w:rPr>
          <w:rFonts w:ascii="Times New Roman" w:hAnsi="Times New Roman"/>
          <w:sz w:val="24"/>
        </w:rPr>
        <w:t xml:space="preserve"> </w:t>
      </w:r>
      <w:sdt>
        <w:sdtPr>
          <w:rPr>
            <w:rFonts w:ascii="Times New Roman" w:hAnsi="Times New Roman"/>
            <w:sz w:val="24"/>
          </w:rPr>
          <w:tag w:val="tii-similarity-U1VCTUlUVEVEX1dPUktfb2lkOjE4MTE1OjM4MTk2NTA3MQ=="/>
          <w:id w:val="-402216251"/>
          <w:placeholder>
            <w:docPart w:val="DefaultPlaceholder_-1854013440"/>
          </w:placeholder>
          <w15:appearance w15:val="hidden"/>
        </w:sdtPr>
        <w:sdtContent>
          <w:r w:rsidR="00000000">
            <w:rPr>
              <w:rFonts w:ascii="Times New Roman" w:hAnsi="Times New Roman"/>
              <w:sz w:val="24"/>
            </w:rPr>
            <w:t>experimental studies found that</w:t>
          </w:r>
        </w:sdtContent>
      </w:sdt>
      <w:r w:rsidR="00000000">
        <w:rPr>
          <w:rFonts w:ascii="Times New Roman" w:hAnsi="Times New Roman"/>
          <w:sz w:val="24"/>
        </w:rPr>
        <w:t xml:space="preserve"> passive training methods achieve </w:t>
      </w:r>
      <w:sdt>
        <w:sdtPr>
          <w:rPr>
            <w:rFonts w:ascii="Times New Roman" w:hAnsi="Times New Roman"/>
            <w:sz w:val="24"/>
          </w:rPr>
          <w:tag w:val="tii-similarity-U1VCTUlUVEVEX1dPUktfb2lkOjE4MTE1OjM4MTk2NTA3MQ=="/>
          <w:id w:val="2115400243"/>
          <w:placeholder>
            <w:docPart w:val="DefaultPlaceholder_-1854013440"/>
          </w:placeholder>
          <w15:appearance w15:val="hidden"/>
        </w:sdtPr>
        <w:sdtContent>
          <w:r w:rsidR="00000000">
            <w:rPr>
              <w:rFonts w:ascii="Times New Roman" w:hAnsi="Times New Roman"/>
              <w:sz w:val="24"/>
            </w:rPr>
            <w:t>knowledge retention rates of</w:t>
          </w:r>
        </w:sdtContent>
      </w:sdt>
      <w:r w:rsidR="00000000">
        <w:rPr>
          <w:rFonts w:ascii="Times New Roman" w:hAnsi="Times New Roman"/>
          <w:sz w:val="24"/>
        </w:rPr>
        <w:t xml:space="preserve"> only 15–30%, and that even trained employees continue falling victim to phishing attempts at significant rates [3]. The root cause is not a shortage of information — it is the failure to engage the psychological </w:t>
      </w:r>
      <w:r w:rsidR="00000000">
        <w:rPr>
          <w:rFonts w:ascii="Times New Roman" w:hAnsi="Times New Roman"/>
          <w:sz w:val="24"/>
        </w:rPr>
        <w:lastRenderedPageBreak/>
        <w:t>mechanisms required for durable behavioural change: emotional relevance, self-efficacy, and experiential practice in authentic, realistic contexts.</w:t>
      </w:r>
    </w:p>
    <w:p w14:paraId="25B04ED2" w14:textId="2CBD87F6" w:rsidR="00A009D4" w:rsidRDefault="00000000">
      <w:pPr>
        <w:spacing w:after="120"/>
        <w:jc w:val="both"/>
      </w:pPr>
      <w:r>
        <w:rPr>
          <w:rFonts w:ascii="Times New Roman" w:hAnsi="Times New Roman"/>
          <w:sz w:val="24"/>
        </w:rPr>
        <w:t xml:space="preserve">InfoGuard was built in direct response to this evidence. Rather than presenting information passively, it challenges users to make real-time classification decisions across ten rounds of simulated social media direct message (DM) phishing scenarios, delivered within a realistic smartphone interface. Immediate per-round feedback, performance badges, </w:t>
      </w:r>
      <w:sdt>
        <w:sdtPr>
          <w:rPr>
            <w:rFonts w:ascii="Times New Roman" w:hAnsi="Times New Roman"/>
            <w:sz w:val="24"/>
          </w:rPr>
          <w:tag w:val="tii-similarity-U1VCTUlUVEVEX1dPUktfb2lkOjE4MTE1OjM4MTk2NTA3MQ=="/>
          <w:id w:val="-64338757"/>
          <w:placeholder>
            <w:docPart w:val="DefaultPlaceholder_-1854013440"/>
          </w:placeholder>
          <w15:appearance w15:val="hidden"/>
        </w:sdtPr>
        <w:sdtContent>
          <w:r>
            <w:rPr>
              <w:rFonts w:ascii="Times New Roman" w:hAnsi="Times New Roman"/>
              <w:sz w:val="24"/>
            </w:rPr>
            <w:t xml:space="preserve">and a </w:t>
          </w:r>
          <w:proofErr w:type="spellStart"/>
          <w:r>
            <w:rPr>
              <w:rFonts w:ascii="Times New Roman" w:hAnsi="Times New Roman"/>
              <w:sz w:val="24"/>
            </w:rPr>
            <w:t>personalised</w:t>
          </w:r>
          <w:proofErr w:type="spellEnd"/>
          <w:r>
            <w:rPr>
              <w:rFonts w:ascii="Times New Roman" w:hAnsi="Times New Roman"/>
              <w:sz w:val="24"/>
            </w:rPr>
            <w:t xml:space="preserve"> end</w:t>
          </w:r>
        </w:sdtContent>
      </w:sdt>
      <w:r>
        <w:rPr>
          <w:rFonts w:ascii="Times New Roman" w:hAnsi="Times New Roman"/>
          <w:sz w:val="24"/>
        </w:rPr>
        <w:t>-session scorecard engage the emotional and experiential dimensions that standard training neglects.</w:t>
      </w:r>
    </w:p>
    <w:p w14:paraId="77CCA1AE" w14:textId="77777777" w:rsidR="00A009D4" w:rsidRDefault="00000000">
      <w:pPr>
        <w:keepNext/>
        <w:spacing w:before="280" w:after="80"/>
      </w:pPr>
      <w:r>
        <w:rPr>
          <w:rFonts w:ascii="Times New Roman" w:hAnsi="Times New Roman"/>
          <w:b/>
          <w:sz w:val="24"/>
        </w:rPr>
        <w:t>1.2 Problem Statement</w:t>
      </w:r>
    </w:p>
    <w:p w14:paraId="006396C9" w14:textId="6BB2FE08" w:rsidR="00A009D4" w:rsidRDefault="00000000">
      <w:pPr>
        <w:spacing w:after="120"/>
        <w:jc w:val="both"/>
      </w:pPr>
      <w:r>
        <w:rPr>
          <w:rFonts w:ascii="Times New Roman" w:hAnsi="Times New Roman"/>
          <w:sz w:val="24"/>
        </w:rPr>
        <w:t xml:space="preserve">Existing cybersecurity awareness training </w:t>
      </w:r>
      <w:sdt>
        <w:sdtPr>
          <w:rPr>
            <w:rFonts w:ascii="Times New Roman" w:hAnsi="Times New Roman"/>
            <w:sz w:val="24"/>
          </w:rPr>
          <w:tag w:val="tii-similarity-U1VCTUlUVEVEX1dPUktfb2lkOjE4MTE1OjM4MTk2NTA3MQ=="/>
          <w:id w:val="-832452192"/>
          <w:placeholder>
            <w:docPart w:val="DefaultPlaceholder_-1854013440"/>
          </w:placeholder>
          <w15:appearance w15:val="hidden"/>
        </w:sdtPr>
        <w:sdtContent>
          <w:r>
            <w:rPr>
              <w:rFonts w:ascii="Times New Roman" w:hAnsi="Times New Roman"/>
              <w:sz w:val="24"/>
            </w:rPr>
            <w:t xml:space="preserve">consistently fails to produce lasting </w:t>
          </w:r>
          <w:proofErr w:type="spellStart"/>
          <w:r>
            <w:rPr>
              <w:rFonts w:ascii="Times New Roman" w:hAnsi="Times New Roman"/>
              <w:sz w:val="24"/>
            </w:rPr>
            <w:t>behavioural</w:t>
          </w:r>
          <w:proofErr w:type="spellEnd"/>
          <w:r>
            <w:rPr>
              <w:rFonts w:ascii="Times New Roman" w:hAnsi="Times New Roman"/>
              <w:sz w:val="24"/>
            </w:rPr>
            <w:t xml:space="preserve"> change because it</w:t>
          </w:r>
        </w:sdtContent>
      </w:sdt>
      <w:r>
        <w:rPr>
          <w:rFonts w:ascii="Times New Roman" w:hAnsi="Times New Roman"/>
          <w:sz w:val="24"/>
        </w:rPr>
        <w:t xml:space="preserve"> </w:t>
      </w:r>
      <w:sdt>
        <w:sdtPr>
          <w:rPr>
            <w:rFonts w:ascii="Times New Roman" w:hAnsi="Times New Roman"/>
            <w:sz w:val="24"/>
          </w:rPr>
          <w:tag w:val="tii-similarity-U1VCTUlUVEVEX1dPUktfb2lkOjE4MTE1OjM4MTk2NTA3MQ=="/>
          <w:id w:val="244621771"/>
          <w:placeholder>
            <w:docPart w:val="DefaultPlaceholder_-1854013440"/>
          </w:placeholder>
          <w15:appearance w15:val="hidden"/>
        </w:sdtPr>
        <w:sdtContent>
          <w:r>
            <w:rPr>
              <w:rFonts w:ascii="Times New Roman" w:hAnsi="Times New Roman"/>
              <w:sz w:val="24"/>
            </w:rPr>
            <w:t>relies on passive, decontextualised instruction that does not engage the</w:t>
          </w:r>
        </w:sdtContent>
      </w:sdt>
      <w:r>
        <w:rPr>
          <w:rFonts w:ascii="Times New Roman" w:hAnsi="Times New Roman"/>
          <w:sz w:val="24"/>
        </w:rPr>
        <w:t xml:space="preserve"> self-efficacy, emotional relevance, or experiential practice mechanisms required </w:t>
      </w:r>
      <w:sdt>
        <w:sdtPr>
          <w:rPr>
            <w:rFonts w:ascii="Times New Roman" w:hAnsi="Times New Roman"/>
            <w:sz w:val="24"/>
          </w:rPr>
          <w:tag w:val="tii-similarity-U1VCTUlUVEVEX1dPUktfb2lkOjE4MTE1OjM4MTk2NTA3MQ=="/>
          <w:id w:val="-1718582451"/>
          <w:placeholder>
            <w:docPart w:val="DefaultPlaceholder_-1854013440"/>
          </w:placeholder>
          <w15:appearance w15:val="hidden"/>
        </w:sdtPr>
        <w:sdtContent>
          <w:r>
            <w:rPr>
              <w:rFonts w:ascii="Times New Roman" w:hAnsi="Times New Roman"/>
              <w:sz w:val="24"/>
            </w:rPr>
            <w:t xml:space="preserve">for durable </w:t>
          </w:r>
          <w:proofErr w:type="spellStart"/>
          <w:r>
            <w:rPr>
              <w:rFonts w:ascii="Times New Roman" w:hAnsi="Times New Roman"/>
              <w:sz w:val="24"/>
            </w:rPr>
            <w:t>behaviour</w:t>
          </w:r>
          <w:proofErr w:type="spellEnd"/>
          <w:r>
            <w:rPr>
              <w:rFonts w:ascii="Times New Roman" w:hAnsi="Times New Roman"/>
              <w:sz w:val="24"/>
            </w:rPr>
            <w:t xml:space="preserve"> modification</w:t>
          </w:r>
        </w:sdtContent>
      </w:sdt>
      <w:r>
        <w:rPr>
          <w:rFonts w:ascii="Times New Roman" w:hAnsi="Times New Roman"/>
          <w:sz w:val="24"/>
        </w:rPr>
        <w:t xml:space="preserve"> [4]. Furthermore, most available simulation tools either require server-side infrastructure and complex deployment, or collect personal data in ways that introduce both access barriers and privacy concerns. There is a clear need for an accessible, front-end-only platform that any user can access immediately without setup, grounded in learning science, that collects and stores absolutely nothing.</w:t>
      </w:r>
    </w:p>
    <w:p w14:paraId="079C5931" w14:textId="77777777" w:rsidR="00A009D4" w:rsidRDefault="00000000">
      <w:pPr>
        <w:keepNext/>
        <w:spacing w:before="280" w:after="80"/>
      </w:pPr>
      <w:r>
        <w:rPr>
          <w:rFonts w:ascii="Times New Roman" w:hAnsi="Times New Roman"/>
          <w:b/>
          <w:sz w:val="24"/>
        </w:rPr>
        <w:t>1.3 Aim and Objectives</w:t>
      </w:r>
    </w:p>
    <w:p w14:paraId="14165AD0" w14:textId="49B23F63" w:rsidR="00A009D4" w:rsidRDefault="00000000">
      <w:pPr>
        <w:spacing w:after="120"/>
        <w:jc w:val="both"/>
      </w:pPr>
      <w:r>
        <w:rPr>
          <w:rFonts w:ascii="Times New Roman" w:hAnsi="Times New Roman"/>
          <w:sz w:val="24"/>
        </w:rPr>
        <w:t xml:space="preserve">The primary aim is to design, develop, and evaluate a browser-based gamified phishing simulation that </w:t>
      </w:r>
      <w:sdt>
        <w:sdtPr>
          <w:rPr>
            <w:rFonts w:ascii="Times New Roman" w:hAnsi="Times New Roman"/>
            <w:sz w:val="24"/>
          </w:rPr>
          <w:tag w:val="tii-similarity-U1VCTUlUVEVEX1dPUktfb2lkOjE4MTE1OjM4MTk2NTA3MQ=="/>
          <w:id w:val="-1402203975"/>
          <w:placeholder>
            <w:docPart w:val="DefaultPlaceholder_-1854013440"/>
          </w:placeholder>
          <w15:appearance w15:val="hidden"/>
        </w:sdtPr>
        <w:sdtContent>
          <w:r>
            <w:rPr>
              <w:rFonts w:ascii="Times New Roman" w:hAnsi="Times New Roman"/>
              <w:sz w:val="24"/>
            </w:rPr>
            <w:t>produces measurable improvements in self-reported cybersecurity awareness</w:t>
          </w:r>
        </w:sdtContent>
      </w:sdt>
      <w:r>
        <w:rPr>
          <w:rFonts w:ascii="Times New Roman" w:hAnsi="Times New Roman"/>
          <w:sz w:val="24"/>
        </w:rPr>
        <w:t xml:space="preserve"> within a single session, using only HTML5, CSS3, and JavaScript — developed in Visual Studio Code and deployed via GitHub Pages — with no server infrastructure, no user accounts, and no credential or personal data storage.</w:t>
      </w:r>
    </w:p>
    <w:p w14:paraId="38A68D49" w14:textId="77777777" w:rsidR="00A009D4" w:rsidRDefault="00000000">
      <w:pPr>
        <w:spacing w:after="120"/>
        <w:jc w:val="both"/>
      </w:pPr>
      <w:r>
        <w:rPr>
          <w:rFonts w:ascii="Times New Roman" w:hAnsi="Times New Roman"/>
          <w:sz w:val="24"/>
        </w:rPr>
        <w:t>The following objectives structure the project:</w:t>
      </w:r>
    </w:p>
    <w:p w14:paraId="6886E8CB" w14:textId="77777777" w:rsidR="00A009D4" w:rsidRDefault="00000000">
      <w:pPr>
        <w:pStyle w:val="ListBullet"/>
        <w:spacing w:after="60"/>
      </w:pPr>
      <w:r>
        <w:rPr>
          <w:rFonts w:ascii="Times New Roman" w:hAnsi="Times New Roman"/>
          <w:sz w:val="24"/>
        </w:rPr>
        <w:t>O1 — Design: Design a simulation interface that authentically replicates social media DM phishing contexts, grounded in cognitive load theory and situated learning principles.</w:t>
      </w:r>
    </w:p>
    <w:p w14:paraId="1A9DAFFB" w14:textId="77777777" w:rsidR="00A009D4" w:rsidRDefault="00000000">
      <w:pPr>
        <w:pStyle w:val="ListBullet"/>
        <w:spacing w:after="60"/>
      </w:pPr>
      <w:r>
        <w:rPr>
          <w:rFonts w:ascii="Times New Roman" w:hAnsi="Times New Roman"/>
          <w:sz w:val="24"/>
        </w:rPr>
        <w:t>O2 — Implementation: Implement a fully functional phishing simulation hosted on GitHub Pages, developed entirely in Visual Studio Code using front-end web technologies.</w:t>
      </w:r>
    </w:p>
    <w:p w14:paraId="2E74E9CE" w14:textId="3DB2B8B3" w:rsidR="00A009D4" w:rsidRDefault="000A493E">
      <w:pPr>
        <w:pStyle w:val="ListBullet"/>
        <w:spacing w:after="60"/>
      </w:pPr>
      <w:sdt>
        <w:sdtPr>
          <w:rPr>
            <w:rFonts w:ascii="Times New Roman" w:hAnsi="Times New Roman"/>
            <w:sz w:val="24"/>
          </w:rPr>
          <w:tag w:val="tii-similarity-U1VCTUlUVEVEX1dPUktfb2lkOjE4MTE1OjM4MTk2NTA3MQ=="/>
          <w:id w:val="-170639756"/>
          <w:placeholder>
            <w:docPart w:val="DefaultPlaceholder_-1854013440"/>
          </w:placeholder>
          <w15:appearance w15:val="hidden"/>
        </w:sdtPr>
        <w:sdtContent>
          <w:r w:rsidR="00000000">
            <w:rPr>
              <w:rFonts w:ascii="Times New Roman" w:hAnsi="Times New Roman"/>
              <w:sz w:val="24"/>
            </w:rPr>
            <w:t>O3 — Evaluation: Gather pre-</w:t>
          </w:r>
        </w:sdtContent>
      </w:sdt>
      <w:r w:rsidR="00000000">
        <w:rPr>
          <w:rFonts w:ascii="Times New Roman" w:hAnsi="Times New Roman"/>
          <w:sz w:val="24"/>
        </w:rPr>
        <w:t xml:space="preserve"> </w:t>
      </w:r>
      <w:sdt>
        <w:sdtPr>
          <w:rPr>
            <w:rFonts w:ascii="Times New Roman" w:hAnsi="Times New Roman"/>
            <w:sz w:val="24"/>
          </w:rPr>
          <w:tag w:val="tii-similarity-U1VCTUlUVEVEX1dPUktfb2lkOjE4MTE1OjM4MTk2NTA3MQ=="/>
          <w:id w:val="415764265"/>
          <w:placeholder>
            <w:docPart w:val="DefaultPlaceholder_-1854013440"/>
          </w:placeholder>
          <w15:appearance w15:val="hidden"/>
        </w:sdtPr>
        <w:sdtContent>
          <w:r w:rsidR="00000000">
            <w:rPr>
              <w:rFonts w:ascii="Times New Roman" w:hAnsi="Times New Roman"/>
              <w:sz w:val="24"/>
            </w:rPr>
            <w:t>and post-game questionnaire data from consenting university student</w:t>
          </w:r>
        </w:sdtContent>
      </w:sdt>
      <w:r w:rsidR="00000000">
        <w:rPr>
          <w:rFonts w:ascii="Times New Roman" w:hAnsi="Times New Roman"/>
          <w:sz w:val="24"/>
        </w:rPr>
        <w:t xml:space="preserve"> participants to measure self-reported awareness improvements across defined indicators.</w:t>
      </w:r>
    </w:p>
    <w:p w14:paraId="563A5176" w14:textId="065FC607" w:rsidR="00A009D4" w:rsidRDefault="00000000">
      <w:pPr>
        <w:pStyle w:val="ListBullet"/>
        <w:spacing w:after="60"/>
      </w:pPr>
      <w:r>
        <w:rPr>
          <w:rFonts w:ascii="Times New Roman" w:hAnsi="Times New Roman"/>
          <w:sz w:val="24"/>
        </w:rPr>
        <w:t xml:space="preserve">O4 — </w:t>
      </w:r>
      <w:sdt>
        <w:sdtPr>
          <w:rPr>
            <w:rFonts w:ascii="Times New Roman" w:hAnsi="Times New Roman"/>
            <w:sz w:val="24"/>
          </w:rPr>
          <w:tag w:val="tii-similarity-U1VCTUlUVEVEX1dPUktfb2lkOjE4MTE1OjM4MTk2NTA3MQ=="/>
          <w:id w:val="-484239347"/>
          <w:placeholder>
            <w:docPart w:val="DefaultPlaceholder_-1854013440"/>
          </w:placeholder>
          <w15:appearance w15:val="hidden"/>
        </w:sdtPr>
        <w:sdtContent>
          <w:r>
            <w:rPr>
              <w:rFonts w:ascii="Times New Roman" w:hAnsi="Times New Roman"/>
              <w:sz w:val="24"/>
            </w:rPr>
            <w:t>Contribution: Document a</w:t>
          </w:r>
        </w:sdtContent>
      </w:sdt>
      <w:r>
        <w:rPr>
          <w:rFonts w:ascii="Times New Roman" w:hAnsi="Times New Roman"/>
          <w:sz w:val="24"/>
        </w:rPr>
        <w:t xml:space="preserve"> nine-mechanic </w:t>
      </w:r>
      <w:sdt>
        <w:sdtPr>
          <w:rPr>
            <w:rFonts w:ascii="Times New Roman" w:hAnsi="Times New Roman"/>
            <w:sz w:val="24"/>
          </w:rPr>
          <w:tag w:val="tii-similarity-U1VCTUlUVEVEX1dPUktfb2lkOjE4MTE1OjM4MTk2NTA3MQ=="/>
          <w:id w:val="1843355284"/>
          <w:placeholder>
            <w:docPart w:val="DefaultPlaceholder_-1854013440"/>
          </w:placeholder>
          <w15:appearance w15:val="hidden"/>
        </w:sdtPr>
        <w:sdtContent>
          <w:r>
            <w:rPr>
              <w:rFonts w:ascii="Times New Roman" w:hAnsi="Times New Roman"/>
              <w:sz w:val="24"/>
            </w:rPr>
            <w:t>pedagogical framework mapping</w:t>
          </w:r>
        </w:sdtContent>
      </w:sdt>
      <w:r>
        <w:rPr>
          <w:rFonts w:ascii="Times New Roman" w:hAnsi="Times New Roman"/>
          <w:sz w:val="24"/>
        </w:rPr>
        <w:t xml:space="preserve"> each game element to an established learning science theory as </w:t>
      </w:r>
      <w:sdt>
        <w:sdtPr>
          <w:rPr>
            <w:rFonts w:ascii="Times New Roman" w:hAnsi="Times New Roman"/>
            <w:sz w:val="24"/>
          </w:rPr>
          <w:tag w:val="tii-similarity-U1VCTUlUVEVEX1dPUktfb2lkOjE4MTE1OjM4MTk2NTA3MQ=="/>
          <w:id w:val="1182388863"/>
          <w:placeholder>
            <w:docPart w:val="DefaultPlaceholder_-1854013440"/>
          </w:placeholder>
          <w15:appearance w15:val="hidden"/>
        </w:sdtPr>
        <w:sdtContent>
          <w:r>
            <w:rPr>
              <w:rFonts w:ascii="Times New Roman" w:hAnsi="Times New Roman"/>
              <w:sz w:val="24"/>
            </w:rPr>
            <w:t>a reusable design reference</w:t>
          </w:r>
        </w:sdtContent>
      </w:sdt>
      <w:r>
        <w:rPr>
          <w:rFonts w:ascii="Times New Roman" w:hAnsi="Times New Roman"/>
          <w:sz w:val="24"/>
        </w:rPr>
        <w:t>.</w:t>
      </w:r>
    </w:p>
    <w:p w14:paraId="1653FC9A" w14:textId="77777777" w:rsidR="00A009D4" w:rsidRDefault="00000000">
      <w:pPr>
        <w:keepNext/>
        <w:spacing w:before="280" w:after="80"/>
      </w:pPr>
      <w:r>
        <w:rPr>
          <w:rFonts w:ascii="Times New Roman" w:hAnsi="Times New Roman"/>
          <w:b/>
          <w:sz w:val="24"/>
        </w:rPr>
        <w:lastRenderedPageBreak/>
        <w:t>1.4 Scope and Limitations</w:t>
      </w:r>
    </w:p>
    <w:p w14:paraId="2F0E6687" w14:textId="77777777" w:rsidR="00A009D4" w:rsidRDefault="00000000">
      <w:pPr>
        <w:spacing w:after="120"/>
        <w:jc w:val="both"/>
      </w:pPr>
      <w:r>
        <w:rPr>
          <w:rFonts w:ascii="Times New Roman" w:hAnsi="Times New Roman"/>
          <w:sz w:val="24"/>
        </w:rPr>
        <w:t>InfoGuard is scoped as a proof-of-concept educational tool targeting social media DM phishing scenarios. The platform is entirely front-end: no backend, no database, no cookies, and no server-side processing of any kind. All logic executes within the user's browser session. No data is transmitted, logged, or persisted. This was a deliberate design decision to ensure complete transparency about data handling, eliminate deployment complexity, and guarantee accessibility on any device with a modern browser.</w:t>
      </w:r>
    </w:p>
    <w:p w14:paraId="568026ED" w14:textId="77777777" w:rsidR="00A009D4" w:rsidRDefault="00000000">
      <w:pPr>
        <w:spacing w:after="120"/>
        <w:jc w:val="both"/>
      </w:pPr>
      <w:r>
        <w:rPr>
          <w:rFonts w:ascii="Times New Roman" w:hAnsi="Times New Roman"/>
          <w:sz w:val="24"/>
        </w:rPr>
        <w:t>The evaluation uses a convenience sample of six BSc Cybersecurity students, appropriate for an exploratory proof-of-concept but insufficient for broad statistical generalisation. Large-scale organisational deployment, native mobile apps, machine learning personalisation, and AR/VR extensions are explicitly out of scope for this version.</w:t>
      </w:r>
    </w:p>
    <w:p w14:paraId="0D6242CB" w14:textId="77777777" w:rsidR="00A009D4" w:rsidRDefault="00000000">
      <w:pPr>
        <w:keepNext/>
        <w:spacing w:before="280" w:after="80"/>
      </w:pPr>
      <w:r>
        <w:rPr>
          <w:rFonts w:ascii="Times New Roman" w:hAnsi="Times New Roman"/>
          <w:b/>
          <w:sz w:val="24"/>
        </w:rPr>
        <w:t>1.5 Report Structure</w:t>
      </w:r>
    </w:p>
    <w:p w14:paraId="0DA9206B" w14:textId="77777777" w:rsidR="00A009D4" w:rsidRDefault="00000000">
      <w:pPr>
        <w:spacing w:after="120"/>
        <w:jc w:val="both"/>
      </w:pPr>
      <w:r>
        <w:rPr>
          <w:rFonts w:ascii="Times New Roman" w:hAnsi="Times New Roman"/>
          <w:sz w:val="24"/>
        </w:rPr>
        <w:t>Chapter 2 reviews academic literature on phishing psychology, gamification, and existing training. Chapter 3 describes the research and development methodology. Chapter 4 presents system design and the pedagogical framework. Chapter 5 details technical implementation. Chapter 6 covers testing and evaluation. Chapter 7 addresses ethical and legal considerations. Chapter 8 presents results and critical discussion. Chapter 9 concludes with key findings and future work. Chapter 10 provides all references in IEEE format.</w:t>
      </w:r>
    </w:p>
    <w:p w14:paraId="2C4D64F7" w14:textId="77777777" w:rsidR="00A009D4" w:rsidRDefault="00000000">
      <w:r>
        <w:br w:type="page"/>
      </w:r>
    </w:p>
    <w:p w14:paraId="30272522" w14:textId="77777777" w:rsidR="00A009D4" w:rsidRDefault="00000000">
      <w:pPr>
        <w:spacing w:before="360" w:after="160"/>
        <w:jc w:val="center"/>
      </w:pPr>
      <w:r>
        <w:rPr>
          <w:rFonts w:ascii="Times New Roman" w:hAnsi="Times New Roman"/>
          <w:b/>
          <w:sz w:val="28"/>
        </w:rPr>
        <w:lastRenderedPageBreak/>
        <w:t>Chapter 2: Literature Review</w:t>
      </w:r>
    </w:p>
    <w:p w14:paraId="68C8552D" w14:textId="77777777" w:rsidR="00A009D4" w:rsidRDefault="00000000">
      <w:pPr>
        <w:keepNext/>
        <w:spacing w:before="280" w:after="80"/>
      </w:pPr>
      <w:r>
        <w:rPr>
          <w:rFonts w:ascii="Times New Roman" w:hAnsi="Times New Roman"/>
          <w:b/>
          <w:sz w:val="24"/>
        </w:rPr>
        <w:t>2.1 The Human Factor in Cybersecurity</w:t>
      </w:r>
    </w:p>
    <w:p w14:paraId="687898A8" w14:textId="77777777" w:rsidR="00A009D4" w:rsidRDefault="00000000">
      <w:pPr>
        <w:spacing w:after="120"/>
        <w:jc w:val="both"/>
      </w:pPr>
      <w:r>
        <w:rPr>
          <w:rFonts w:ascii="Times New Roman" w:hAnsi="Times New Roman"/>
          <w:sz w:val="24"/>
        </w:rPr>
        <w:t>Technical controls — firewalls, endpoint protection, intrusion detection — are necessary but insufficient against modern threats. The persistence of phishing as the dominant initial access vector confirms that human behaviour, not technical vulnerabilities, remains the most exploitable attack surface. Furnell et al. (2018) identify seven recurring human security failure patterns: inattention, ignorance, complacency, boredom, lack of motivation, insecure workarounds, and negligent work practices [5]. These are not signs of individual failure — they are predictable products of cognitive systems operating under time pressure, attention saturation, and repetitive low-salience tasks characteristic of modern working environments.</w:t>
      </w:r>
    </w:p>
    <w:p w14:paraId="758541CA" w14:textId="77777777" w:rsidR="00A009D4" w:rsidRDefault="00000000">
      <w:pPr>
        <w:spacing w:after="120"/>
        <w:jc w:val="both"/>
      </w:pPr>
      <w:r>
        <w:rPr>
          <w:rFonts w:ascii="Times New Roman" w:hAnsi="Times New Roman"/>
          <w:sz w:val="24"/>
        </w:rPr>
        <w:t>Stanton et al. (2005) demonstrate that knowledge alone cannot drive secure behaviour [4]. Three co-required psychological variables determine whether individuals act securely: perceived behavioural efficacy (the belief that one's actions make a real security difference), self-efficacy (confidence in one's ability to consistently perform secure behaviours), and emotional relevance (a personal connection to the consequences of failure). Standard compliance training addresses only knowledge acquisition, leaving the other two entirely unengaged. This explains why employees who correctly answer quiz questions about phishing still click malicious links in real-world conditions.</w:t>
      </w:r>
    </w:p>
    <w:p w14:paraId="1439DDA5" w14:textId="77777777" w:rsidR="00A009D4" w:rsidRDefault="00000000">
      <w:pPr>
        <w:spacing w:after="120"/>
        <w:jc w:val="both"/>
      </w:pPr>
      <w:r>
        <w:rPr>
          <w:rFonts w:ascii="Times New Roman" w:hAnsi="Times New Roman"/>
          <w:sz w:val="24"/>
        </w:rPr>
        <w:t>Kahneman's (2011) dual-process theory provides further explanatory grounding [6]. System 1 thinking is fast, automatic, and heuristic-driven — it governs most decisions made under time pressure. System 2 is slow and analytical. Phishing attacks exploit System 1: urgency suppresses deliberate analysis, authority signals bypass sceptical evaluation, and scarcity framing triggers instinctive responses. Effective training must therefore cultivate both automatic threat recognition (System 1) and deliberate evaluation habits (System 2). InfoGuard's ten-round structure with response-time awareness in the scorecard directly operationalises this dual-system approach.</w:t>
      </w:r>
    </w:p>
    <w:p w14:paraId="0AF8AEC7" w14:textId="77777777" w:rsidR="00A009D4" w:rsidRDefault="00000000">
      <w:pPr>
        <w:spacing w:after="120"/>
        <w:jc w:val="both"/>
      </w:pPr>
      <w:r>
        <w:rPr>
          <w:rFonts w:ascii="Times New Roman" w:hAnsi="Times New Roman"/>
          <w:sz w:val="24"/>
        </w:rPr>
        <w:t>The implications of cognitive vulnerability research extend beyond individual behaviour. Organisations that rely solely on perimeter defences while neglecting the human attack surface create systemic risk: a single employee's momentary lapse in judgement can bypass millions of pounds of technical infrastructure. This is why cybersecurity researchers increasingly advocate for a 'people-centred' security paradigm in which human behaviour is treated as a primary security control requiring active cultivation rather than a residual risk to be minimised through technical constraint (Sasse &amp; Flechais, 2005). InfoGuard is a direct product of this paradigm: rather than trying to prevent users from encountering phishing through filtering tools, it builds the cognitive skills necessary to recognise and resist attacks at the point of encounter.</w:t>
      </w:r>
    </w:p>
    <w:p w14:paraId="0155C5BD" w14:textId="77777777" w:rsidR="00A009D4" w:rsidRDefault="00000000">
      <w:pPr>
        <w:spacing w:after="120"/>
        <w:jc w:val="both"/>
      </w:pPr>
      <w:r>
        <w:rPr>
          <w:rFonts w:ascii="Times New Roman" w:hAnsi="Times New Roman"/>
          <w:sz w:val="24"/>
        </w:rPr>
        <w:lastRenderedPageBreak/>
        <w:t>The concept of security fatigue, documented extensively by Stanton et al. (2005) and more recently by Furnell and Thomson (2009), provides a further dimension to the human factor problem [4][5]. Security fatigue refers to the gradual erosion of security-conscious behaviour that occurs when users are repeatedly exposed to security warnings, procedures, and training requirements that they perceive as burdensome, irrelevant, or ineffective. Studies show that users who experience high levels of security fatigue are more likely to click suspicious links, reuse passwords, and bypass multi-factor authentication prompts. Gamified training platforms offer a direct counter to security fatigue by reframing security skill development as an engaging, voluntary activity rather than a compliance obligation — which is precisely why InfoGuard's voluntary, game-format design is educationally significant beyond its technical implementation.</w:t>
      </w:r>
    </w:p>
    <w:p w14:paraId="528F9509" w14:textId="77777777" w:rsidR="00A009D4" w:rsidRDefault="00000000">
      <w:pPr>
        <w:spacing w:after="120"/>
        <w:jc w:val="both"/>
      </w:pPr>
      <w:r>
        <w:rPr>
          <w:rFonts w:ascii="Times New Roman" w:hAnsi="Times New Roman"/>
          <w:sz w:val="24"/>
        </w:rPr>
        <w:t>Addressing security fatigue requires more than simply making training shorter or more visually appealing. Herley (2009) argues that users who appear to ignore security advice are often acting rationally given their perception of risk probability and the cost of compliance — a framing that shifts the design imperative from 'making users comply' to 'making security behaviour feel natural and proportionate'. Gamified simulation achieves this by making security skill development intrinsically rewarding: the satisfaction of correctly identifying a phishing attempt, earning a 'Security Expert' badge, and reviewing one's improvement areas provides genuine motivational value that compliance checklists cannot replicate. InfoGuard's badge-and-scorecard design is a direct implementation of this motivational architecture.</w:t>
      </w:r>
    </w:p>
    <w:p w14:paraId="69556F02" w14:textId="77777777" w:rsidR="00A009D4" w:rsidRDefault="00000000">
      <w:pPr>
        <w:spacing w:after="120"/>
        <w:jc w:val="both"/>
      </w:pPr>
      <w:r>
        <w:rPr>
          <w:rFonts w:ascii="Times New Roman" w:hAnsi="Times New Roman"/>
          <w:sz w:val="24"/>
        </w:rPr>
        <w:t>The design of InfoGuard's end-of-session scorecard also reflects a deliberate pedagogical choice rooted in metacognitive learning theory. Flavell (1979) established that learners who are aware of their own cognitive processes and performance patterns — a capacity known as metacognition — develop more robust and transferable skills than those who receive only outcome-level feedback [19]. The scorecard's improvement panel, which lists every misclassified message with the round number, the scenario type, and the message text, is designed to support exactly this reflective metacognitive process. Rather than simply telling users their score, InfoGuard shows them precisely which scenario types they struggled with, allowing them to identify specific knowledge gaps and focus subsequent practice sessions accordingly. This granular, pattern-revealing feedback structure is a meaningful advance over the binary pass/fail outcomes characteristic of compliance training assessments.</w:t>
      </w:r>
    </w:p>
    <w:p w14:paraId="0D9084E2" w14:textId="77777777" w:rsidR="00A009D4" w:rsidRDefault="00000000">
      <w:pPr>
        <w:keepNext/>
        <w:spacing w:before="280" w:after="80"/>
      </w:pPr>
      <w:r>
        <w:rPr>
          <w:rFonts w:ascii="Times New Roman" w:hAnsi="Times New Roman"/>
          <w:b/>
          <w:sz w:val="24"/>
        </w:rPr>
        <w:t>2.2 Phishing: Taxonomy and Psychological Mechanisms</w:t>
      </w:r>
    </w:p>
    <w:p w14:paraId="7C468DD1" w14:textId="77777777" w:rsidR="00A009D4" w:rsidRDefault="00000000">
      <w:pPr>
        <w:spacing w:after="120"/>
        <w:jc w:val="both"/>
      </w:pPr>
      <w:r>
        <w:rPr>
          <w:rFonts w:ascii="Times New Roman" w:hAnsi="Times New Roman"/>
          <w:sz w:val="24"/>
        </w:rPr>
        <w:t xml:space="preserve">Phishing is defined broadly as a deceptive attempt to obtain sensitive information by impersonating a trustworthy entity [7]. The taxonomy extends across email phishing, spear phishing (personalised targeted attacks), smishing (SMS phishing), vishing (voice phishing), and social media DM phishing — InfoGuard's primary focus. Luo et al. (2011) show that effective attacks consistently exploit cognitive biases: authority compliance, </w:t>
      </w:r>
      <w:r>
        <w:rPr>
          <w:rFonts w:ascii="Times New Roman" w:hAnsi="Times New Roman"/>
          <w:sz w:val="24"/>
        </w:rPr>
        <w:lastRenderedPageBreak/>
        <w:t>reciprocity, social proof, and urgency response [8]. These are not weaknesses unique to non-technical users; they are universal features of human social cognition present at all knowledge levels.</w:t>
      </w:r>
    </w:p>
    <w:p w14:paraId="39BB8236" w14:textId="77777777" w:rsidR="00A009D4" w:rsidRDefault="00000000">
      <w:pPr>
        <w:spacing w:after="120"/>
        <w:jc w:val="both"/>
      </w:pPr>
      <w:r>
        <w:rPr>
          <w:rFonts w:ascii="Times New Roman" w:hAnsi="Times New Roman"/>
          <w:sz w:val="24"/>
        </w:rPr>
        <w:t>Social media DM phishing is particularly effective because it layers multiple exploits within a trusted, familiar communication channel. A message from an account appearing to share mutual connections exploits social proof; one impersonating platform support exploits authority; one warning of account suspension exploits urgency. The visual context of a social media interface — profile photos, follower counts, mutual connection indicators — creates a 'legitimacy anchor' raising the cognitive threshold at which users begin to apply scrutiny. InfoGuard recreates this environment deliberately, exposing participants to the precise combination of signals most likely encountered in real attacks.</w:t>
      </w:r>
    </w:p>
    <w:p w14:paraId="697F320C" w14:textId="77777777" w:rsidR="00A009D4" w:rsidRDefault="00000000">
      <w:pPr>
        <w:spacing w:after="120"/>
        <w:jc w:val="both"/>
      </w:pPr>
      <w:r>
        <w:rPr>
          <w:rFonts w:ascii="Times New Roman" w:hAnsi="Times New Roman"/>
          <w:sz w:val="24"/>
        </w:rPr>
        <w:t>Research by Vishwanath et al. (2011) adds a counterintuitive finding: higher habitual social media use correlates with greater susceptibility to social media phishing, because platform familiarity reduces deliberate scrutiny [9]. This has direct implications for training design: tools must embed training within the exact interface context where vulnerability is highest, not in abstract quiz formats that lack situational authenticity.</w:t>
      </w:r>
    </w:p>
    <w:p w14:paraId="4FAFEDCB" w14:textId="77777777" w:rsidR="00A009D4" w:rsidRDefault="00000000">
      <w:pPr>
        <w:keepNext/>
        <w:spacing w:before="280" w:after="80"/>
      </w:pPr>
      <w:r>
        <w:rPr>
          <w:rFonts w:ascii="Times New Roman" w:hAnsi="Times New Roman"/>
          <w:b/>
          <w:sz w:val="24"/>
        </w:rPr>
        <w:t>2.3 Gamification and Learning Science</w:t>
      </w:r>
    </w:p>
    <w:p w14:paraId="2B42731E" w14:textId="77777777" w:rsidR="00A009D4" w:rsidRDefault="00000000">
      <w:pPr>
        <w:spacing w:after="120"/>
        <w:jc w:val="both"/>
      </w:pPr>
      <w:r>
        <w:rPr>
          <w:rFonts w:ascii="Times New Roman" w:hAnsi="Times New Roman"/>
          <w:sz w:val="24"/>
        </w:rPr>
        <w:t>Deterding et al. (2011) define meaningful gamification as the application of game design elements in non-game contexts to motivate engagement and support learning [10]. A critical distinction exists between superficial gamification — adding badges to existing content — and educationally effective game design that replaces passive content with simulation-based decision-making. Anderson and Martin's (2023) meta-analysis confirmed this empirically: adding leaderboards to compliance modules showed negligible retention improvement, while replacing passive content with interactive simulation produced retention rates of 42–67% [3]. InfoGuard belongs to the latter category.</w:t>
      </w:r>
    </w:p>
    <w:p w14:paraId="2F470EBB" w14:textId="77777777" w:rsidR="00A009D4" w:rsidRDefault="00000000">
      <w:pPr>
        <w:spacing w:after="120"/>
        <w:jc w:val="both"/>
      </w:pPr>
      <w:r>
        <w:rPr>
          <w:rFonts w:ascii="Times New Roman" w:hAnsi="Times New Roman"/>
          <w:sz w:val="24"/>
        </w:rPr>
        <w:t>Gee's (2005) principles of good game-based learning directly inform InfoGuard's design [11]: the Pleasantly Frustrating principle (challenge calibrated for effortful but achievable engagement), the Immediate Feedback principle (consequences following decisions directly), the Situated Meaning principle (learning in authentic, recognisable contexts), and the Cycle of Expertise principle (iterative practice building pattern recognition through repetition with variation). InfoGuard's ten-round structure, per-round overlays, Instagram DM interface, and Fisher-Yates shuffled scenario pool implement all four directly.</w:t>
      </w:r>
    </w:p>
    <w:p w14:paraId="540CE4B0" w14:textId="77777777" w:rsidR="00A009D4" w:rsidRDefault="00000000">
      <w:pPr>
        <w:spacing w:after="120"/>
        <w:jc w:val="both"/>
      </w:pPr>
      <w:r>
        <w:rPr>
          <w:rFonts w:ascii="Times New Roman" w:hAnsi="Times New Roman"/>
          <w:sz w:val="24"/>
        </w:rPr>
        <w:t xml:space="preserve">Self-Determination Theory (Deci &amp; Ryan, 2000) explains why voluntarily motivated learning produces stronger outcomes [12]. SDT identifies three universal psychological needs: autonomy (genuine agency), competence (experienced mastery and growth), and relatedness (connection to real-world context). Mandatory compliance training frustrates all three: it is coerced, provides no skill feedback, and uses decontextualised scenarios. InfoGuard satisfies each: users exercise autonomous classification each round (autonomy), </w:t>
      </w:r>
      <w:r>
        <w:rPr>
          <w:rFonts w:ascii="Times New Roman" w:hAnsi="Times New Roman"/>
          <w:sz w:val="24"/>
        </w:rPr>
        <w:lastRenderedPageBreak/>
        <w:t>receive immediate feedback and performance badges (competence), and engage with Instagram DM scenarios matching their everyday digital environment (relatedness). Ebbinghaus's (1885) forgetting curve research further supports replay-enabled platforms: the shuffled scenario pool enables natural spaced repetition on subsequent sessions, compounding long-term retention in ways a single-session training event cannot achieve [13].</w:t>
      </w:r>
    </w:p>
    <w:p w14:paraId="0DAE1C17" w14:textId="77777777" w:rsidR="00A009D4" w:rsidRDefault="00000000">
      <w:pPr>
        <w:spacing w:after="120"/>
        <w:jc w:val="both"/>
      </w:pPr>
      <w:r>
        <w:rPr>
          <w:rFonts w:ascii="Times New Roman" w:hAnsi="Times New Roman"/>
          <w:sz w:val="24"/>
        </w:rPr>
        <w:t>Cognitive Load Theory (CLT), introduced by Sweller (1988), provides additional design guidance for InfoGuard's interface decisions [15]. CLT distinguishes between intrinsic load (the complexity of the learning content itself), extraneous load (cognitive effort consumed by the learning interface), and germane load (cognitive effort devoted to schema formation — the actual learning). Effective educational design minimises extraneous load so that users direct maximum cognitive resource towards the learning content. In InfoGuard's context, this means the interface must be immediately intuitive — users should not need to figure out how to navigate the platform while simultaneously evaluating a phishing scenario. The familiar smartphone form factor, the three clearly labelled decision buttons, and the clean single-screen layout are all CLT-informed decisions that minimise interface complexity so that the full cognitive load of each session is directed towards phishing recognition, not interface operation.</w:t>
      </w:r>
    </w:p>
    <w:p w14:paraId="6B786443" w14:textId="77777777" w:rsidR="00A009D4" w:rsidRDefault="00000000">
      <w:pPr>
        <w:keepNext/>
        <w:spacing w:before="280" w:after="80"/>
      </w:pPr>
      <w:r>
        <w:rPr>
          <w:rFonts w:ascii="Times New Roman" w:hAnsi="Times New Roman"/>
          <w:b/>
          <w:sz w:val="24"/>
        </w:rPr>
        <w:t>2.4 Existing Cybersecurity Awareness Training Approaches</w:t>
      </w:r>
    </w:p>
    <w:p w14:paraId="04AB4A3E" w14:textId="77777777" w:rsidR="00A009D4" w:rsidRDefault="00000000">
      <w:pPr>
        <w:spacing w:after="120"/>
        <w:jc w:val="both"/>
      </w:pPr>
      <w:r>
        <w:rPr>
          <w:rFonts w:ascii="Times New Roman" w:hAnsi="Times New Roman"/>
          <w:sz w:val="24"/>
        </w:rPr>
        <w:t>E-learning compliance modules represent the most widely deployed training format globally, presenting knowledge through video content, text, and multiple-choice assessments. Research by Stanton et al. (2005) and the NCSC (2024) documents 15–20% long-term retention for these formats, with engagement driven entirely by institutional obligation [2][4]. Furnell et al. (2018) argue this 'checkbox mentality' is actively counterproductive: coerced learners retain and apply less than voluntary learners, and mandatory completion can undermine the perceived importance of the content [5].</w:t>
      </w:r>
    </w:p>
    <w:p w14:paraId="3A4BCF37" w14:textId="77777777" w:rsidR="00A009D4" w:rsidRDefault="00000000">
      <w:pPr>
        <w:spacing w:after="120"/>
        <w:jc w:val="both"/>
      </w:pPr>
      <w:r>
        <w:rPr>
          <w:rFonts w:ascii="Times New Roman" w:hAnsi="Times New Roman"/>
          <w:sz w:val="24"/>
        </w:rPr>
        <w:t>Email phishing simulation platforms like GoPhish provide real threat exposure but offer limited educational value: minimal feedback, no structured learning scaffold, and a tendency to produce resentment in users who feel surveilled. Interactive security awareness games represent the most advanced existing category but are typically desktop-installed with high access friction, lack real-time analytics, and critically do not report rigorous pre/post evaluation evidence of measurable awareness improvement.</w:t>
      </w:r>
    </w:p>
    <w:tbl>
      <w:tblPr>
        <w:tblStyle w:val="TableGrid"/>
        <w:tblW w:w="0" w:type="auto"/>
        <w:tblLook w:val="04A0" w:firstRow="1" w:lastRow="0" w:firstColumn="1" w:lastColumn="0" w:noHBand="0" w:noVBand="1"/>
      </w:tblPr>
      <w:tblGrid>
        <w:gridCol w:w="2457"/>
        <w:gridCol w:w="1606"/>
        <w:gridCol w:w="1412"/>
        <w:gridCol w:w="3155"/>
      </w:tblGrid>
      <w:tr w:rsidR="00A009D4" w14:paraId="749FCA09" w14:textId="77777777">
        <w:tc>
          <w:tcPr>
            <w:tcW w:w="2736" w:type="dxa"/>
          </w:tcPr>
          <w:p w14:paraId="09594EA5" w14:textId="77777777" w:rsidR="00A009D4" w:rsidRDefault="00000000">
            <w:pPr>
              <w:jc w:val="center"/>
            </w:pPr>
            <w:r>
              <w:rPr>
                <w:rFonts w:ascii="Times New Roman" w:hAnsi="Times New Roman"/>
                <w:b/>
                <w:sz w:val="20"/>
              </w:rPr>
              <w:t>Training Approach</w:t>
            </w:r>
          </w:p>
        </w:tc>
        <w:tc>
          <w:tcPr>
            <w:tcW w:w="1728" w:type="dxa"/>
          </w:tcPr>
          <w:p w14:paraId="422AC55E" w14:textId="77777777" w:rsidR="00A009D4" w:rsidRDefault="00000000">
            <w:pPr>
              <w:jc w:val="center"/>
            </w:pPr>
            <w:r>
              <w:rPr>
                <w:rFonts w:ascii="Times New Roman" w:hAnsi="Times New Roman"/>
                <w:b/>
                <w:sz w:val="20"/>
              </w:rPr>
              <w:t>Typical Retention</w:t>
            </w:r>
          </w:p>
        </w:tc>
        <w:tc>
          <w:tcPr>
            <w:tcW w:w="1440" w:type="dxa"/>
          </w:tcPr>
          <w:p w14:paraId="7DE26E2D" w14:textId="77777777" w:rsidR="00A009D4" w:rsidRDefault="00000000">
            <w:pPr>
              <w:jc w:val="center"/>
            </w:pPr>
            <w:r>
              <w:rPr>
                <w:rFonts w:ascii="Times New Roman" w:hAnsi="Times New Roman"/>
                <w:b/>
                <w:sz w:val="20"/>
              </w:rPr>
              <w:t>Engagement</w:t>
            </w:r>
          </w:p>
        </w:tc>
        <w:tc>
          <w:tcPr>
            <w:tcW w:w="3600" w:type="dxa"/>
          </w:tcPr>
          <w:p w14:paraId="72A9BC0A" w14:textId="77777777" w:rsidR="00A009D4" w:rsidRDefault="00000000">
            <w:pPr>
              <w:jc w:val="center"/>
            </w:pPr>
            <w:r>
              <w:rPr>
                <w:rFonts w:ascii="Times New Roman" w:hAnsi="Times New Roman"/>
                <w:b/>
                <w:sz w:val="20"/>
              </w:rPr>
              <w:t>Key Limitation</w:t>
            </w:r>
          </w:p>
        </w:tc>
      </w:tr>
      <w:tr w:rsidR="00A009D4" w14:paraId="50C7B3F0" w14:textId="77777777">
        <w:tc>
          <w:tcPr>
            <w:tcW w:w="2736" w:type="dxa"/>
          </w:tcPr>
          <w:p w14:paraId="3116A598" w14:textId="77777777" w:rsidR="00A009D4" w:rsidRDefault="00000000">
            <w:r>
              <w:rPr>
                <w:rFonts w:ascii="Times New Roman" w:hAnsi="Times New Roman"/>
                <w:sz w:val="20"/>
              </w:rPr>
              <w:t>E-Learning Compliance Modules</w:t>
            </w:r>
          </w:p>
        </w:tc>
        <w:tc>
          <w:tcPr>
            <w:tcW w:w="1728" w:type="dxa"/>
          </w:tcPr>
          <w:p w14:paraId="4CDB8877" w14:textId="77777777" w:rsidR="00A009D4" w:rsidRDefault="00000000">
            <w:r>
              <w:rPr>
                <w:rFonts w:ascii="Times New Roman" w:hAnsi="Times New Roman"/>
                <w:sz w:val="20"/>
              </w:rPr>
              <w:t>15–20%</w:t>
            </w:r>
          </w:p>
        </w:tc>
        <w:tc>
          <w:tcPr>
            <w:tcW w:w="1440" w:type="dxa"/>
          </w:tcPr>
          <w:p w14:paraId="1D0F2BAD" w14:textId="77777777" w:rsidR="00A009D4" w:rsidRDefault="00000000">
            <w:r>
              <w:rPr>
                <w:rFonts w:ascii="Times New Roman" w:hAnsi="Times New Roman"/>
                <w:sz w:val="20"/>
              </w:rPr>
              <w:t>Low</w:t>
            </w:r>
          </w:p>
        </w:tc>
        <w:tc>
          <w:tcPr>
            <w:tcW w:w="3600" w:type="dxa"/>
          </w:tcPr>
          <w:p w14:paraId="6A0B5BA5" w14:textId="77777777" w:rsidR="00A009D4" w:rsidRDefault="00000000">
            <w:r>
              <w:rPr>
                <w:rFonts w:ascii="Times New Roman" w:hAnsi="Times New Roman"/>
                <w:sz w:val="20"/>
              </w:rPr>
              <w:t>Passive; checkbox mentality</w:t>
            </w:r>
          </w:p>
        </w:tc>
      </w:tr>
      <w:tr w:rsidR="00A009D4" w14:paraId="712261BC" w14:textId="77777777">
        <w:tc>
          <w:tcPr>
            <w:tcW w:w="2736" w:type="dxa"/>
          </w:tcPr>
          <w:p w14:paraId="184EE6B7" w14:textId="77777777" w:rsidR="00A009D4" w:rsidRDefault="00000000">
            <w:r>
              <w:rPr>
                <w:rFonts w:ascii="Times New Roman" w:hAnsi="Times New Roman"/>
                <w:sz w:val="20"/>
              </w:rPr>
              <w:t>Classroom Instruction</w:t>
            </w:r>
          </w:p>
        </w:tc>
        <w:tc>
          <w:tcPr>
            <w:tcW w:w="1728" w:type="dxa"/>
          </w:tcPr>
          <w:p w14:paraId="25F5BCDE" w14:textId="77777777" w:rsidR="00A009D4" w:rsidRDefault="00000000">
            <w:r>
              <w:rPr>
                <w:rFonts w:ascii="Times New Roman" w:hAnsi="Times New Roman"/>
                <w:sz w:val="20"/>
              </w:rPr>
              <w:t>20–30%</w:t>
            </w:r>
          </w:p>
        </w:tc>
        <w:tc>
          <w:tcPr>
            <w:tcW w:w="1440" w:type="dxa"/>
          </w:tcPr>
          <w:p w14:paraId="5F5B67F0" w14:textId="77777777" w:rsidR="00A009D4" w:rsidRDefault="00000000">
            <w:r>
              <w:rPr>
                <w:rFonts w:ascii="Times New Roman" w:hAnsi="Times New Roman"/>
                <w:sz w:val="20"/>
              </w:rPr>
              <w:t>Moderate</w:t>
            </w:r>
          </w:p>
        </w:tc>
        <w:tc>
          <w:tcPr>
            <w:tcW w:w="3600" w:type="dxa"/>
          </w:tcPr>
          <w:p w14:paraId="50AF537A" w14:textId="77777777" w:rsidR="00A009D4" w:rsidRDefault="00000000">
            <w:r>
              <w:rPr>
                <w:rFonts w:ascii="Times New Roman" w:hAnsi="Times New Roman"/>
                <w:sz w:val="20"/>
              </w:rPr>
              <w:t>High cost; one-time event</w:t>
            </w:r>
          </w:p>
        </w:tc>
      </w:tr>
      <w:tr w:rsidR="00A009D4" w14:paraId="345025AE" w14:textId="77777777">
        <w:tc>
          <w:tcPr>
            <w:tcW w:w="2736" w:type="dxa"/>
          </w:tcPr>
          <w:p w14:paraId="4F0C5126" w14:textId="77777777" w:rsidR="00A009D4" w:rsidRDefault="00000000">
            <w:r>
              <w:rPr>
                <w:rFonts w:ascii="Times New Roman" w:hAnsi="Times New Roman"/>
                <w:sz w:val="20"/>
              </w:rPr>
              <w:t>Email Phishing Simulations</w:t>
            </w:r>
          </w:p>
        </w:tc>
        <w:tc>
          <w:tcPr>
            <w:tcW w:w="1728" w:type="dxa"/>
          </w:tcPr>
          <w:p w14:paraId="2691EF5B" w14:textId="77777777" w:rsidR="00A009D4" w:rsidRDefault="00000000">
            <w:r>
              <w:rPr>
                <w:rFonts w:ascii="Times New Roman" w:hAnsi="Times New Roman"/>
                <w:sz w:val="20"/>
              </w:rPr>
              <w:t>25–35%</w:t>
            </w:r>
          </w:p>
        </w:tc>
        <w:tc>
          <w:tcPr>
            <w:tcW w:w="1440" w:type="dxa"/>
          </w:tcPr>
          <w:p w14:paraId="479833A6" w14:textId="77777777" w:rsidR="00A009D4" w:rsidRDefault="00000000">
            <w:r>
              <w:rPr>
                <w:rFonts w:ascii="Times New Roman" w:hAnsi="Times New Roman"/>
                <w:sz w:val="20"/>
              </w:rPr>
              <w:t>Moderate</w:t>
            </w:r>
          </w:p>
        </w:tc>
        <w:tc>
          <w:tcPr>
            <w:tcW w:w="3600" w:type="dxa"/>
          </w:tcPr>
          <w:p w14:paraId="35024CFC" w14:textId="77777777" w:rsidR="00A009D4" w:rsidRDefault="00000000">
            <w:r>
              <w:rPr>
                <w:rFonts w:ascii="Times New Roman" w:hAnsi="Times New Roman"/>
                <w:sz w:val="20"/>
              </w:rPr>
              <w:t>No scaffold; punitive feel</w:t>
            </w:r>
          </w:p>
        </w:tc>
      </w:tr>
      <w:tr w:rsidR="00A009D4" w14:paraId="7C73858F" w14:textId="77777777">
        <w:tc>
          <w:tcPr>
            <w:tcW w:w="2736" w:type="dxa"/>
          </w:tcPr>
          <w:p w14:paraId="01C25EA7" w14:textId="77777777" w:rsidR="00A009D4" w:rsidRDefault="00000000">
            <w:r>
              <w:rPr>
                <w:rFonts w:ascii="Times New Roman" w:hAnsi="Times New Roman"/>
                <w:sz w:val="20"/>
              </w:rPr>
              <w:t>Security Awareness Games</w:t>
            </w:r>
          </w:p>
        </w:tc>
        <w:tc>
          <w:tcPr>
            <w:tcW w:w="1728" w:type="dxa"/>
          </w:tcPr>
          <w:p w14:paraId="18B5E95D" w14:textId="77777777" w:rsidR="00A009D4" w:rsidRDefault="00000000">
            <w:r>
              <w:rPr>
                <w:rFonts w:ascii="Times New Roman" w:hAnsi="Times New Roman"/>
                <w:sz w:val="20"/>
              </w:rPr>
              <w:t>30–40%</w:t>
            </w:r>
          </w:p>
        </w:tc>
        <w:tc>
          <w:tcPr>
            <w:tcW w:w="1440" w:type="dxa"/>
          </w:tcPr>
          <w:p w14:paraId="15C64D36" w14:textId="77777777" w:rsidR="00A009D4" w:rsidRDefault="00000000">
            <w:r>
              <w:rPr>
                <w:rFonts w:ascii="Times New Roman" w:hAnsi="Times New Roman"/>
                <w:sz w:val="20"/>
              </w:rPr>
              <w:t>Moderate</w:t>
            </w:r>
          </w:p>
        </w:tc>
        <w:tc>
          <w:tcPr>
            <w:tcW w:w="3600" w:type="dxa"/>
          </w:tcPr>
          <w:p w14:paraId="738CD27A" w14:textId="77777777" w:rsidR="00A009D4" w:rsidRDefault="00000000">
            <w:r>
              <w:rPr>
                <w:rFonts w:ascii="Times New Roman" w:hAnsi="Times New Roman"/>
                <w:sz w:val="20"/>
              </w:rPr>
              <w:t>High friction; no evaluation evidence</w:t>
            </w:r>
          </w:p>
        </w:tc>
      </w:tr>
      <w:tr w:rsidR="00A009D4" w14:paraId="22C23514" w14:textId="77777777">
        <w:tc>
          <w:tcPr>
            <w:tcW w:w="2736" w:type="dxa"/>
          </w:tcPr>
          <w:p w14:paraId="76D7A6DF" w14:textId="77777777" w:rsidR="00A009D4" w:rsidRDefault="00000000">
            <w:r>
              <w:rPr>
                <w:rFonts w:ascii="Times New Roman" w:hAnsi="Times New Roman"/>
                <w:sz w:val="20"/>
              </w:rPr>
              <w:lastRenderedPageBreak/>
              <w:t>InfoGuard (This Project)</w:t>
            </w:r>
          </w:p>
        </w:tc>
        <w:tc>
          <w:tcPr>
            <w:tcW w:w="1728" w:type="dxa"/>
          </w:tcPr>
          <w:p w14:paraId="4A29B6D1" w14:textId="77777777" w:rsidR="00A009D4" w:rsidRDefault="00000000">
            <w:r>
              <w:rPr>
                <w:rFonts w:ascii="Times New Roman" w:hAnsi="Times New Roman"/>
                <w:sz w:val="20"/>
              </w:rPr>
              <w:t>Target: 42–67%*</w:t>
            </w:r>
          </w:p>
        </w:tc>
        <w:tc>
          <w:tcPr>
            <w:tcW w:w="1440" w:type="dxa"/>
          </w:tcPr>
          <w:p w14:paraId="3D5748DE" w14:textId="77777777" w:rsidR="00A009D4" w:rsidRDefault="00000000">
            <w:r>
              <w:rPr>
                <w:rFonts w:ascii="Times New Roman" w:hAnsi="Times New Roman"/>
                <w:sz w:val="20"/>
              </w:rPr>
              <w:t>High</w:t>
            </w:r>
          </w:p>
        </w:tc>
        <w:tc>
          <w:tcPr>
            <w:tcW w:w="3600" w:type="dxa"/>
          </w:tcPr>
          <w:p w14:paraId="5893376D" w14:textId="77777777" w:rsidR="00A009D4" w:rsidRDefault="00000000">
            <w:r>
              <w:rPr>
                <w:rFonts w:ascii="Times New Roman" w:hAnsi="Times New Roman"/>
                <w:sz w:val="20"/>
              </w:rPr>
              <w:t>Proof-of-concept scale only</w:t>
            </w:r>
          </w:p>
        </w:tc>
      </w:tr>
    </w:tbl>
    <w:p w14:paraId="0F7B0A00" w14:textId="77777777" w:rsidR="00A009D4" w:rsidRDefault="00A009D4"/>
    <w:p w14:paraId="7E3B4B48" w14:textId="77777777" w:rsidR="00A009D4" w:rsidRDefault="00000000">
      <w:pPr>
        <w:spacing w:after="120"/>
        <w:jc w:val="both"/>
      </w:pPr>
      <w:r>
        <w:rPr>
          <w:rFonts w:ascii="Times New Roman" w:hAnsi="Times New Roman"/>
          <w:i/>
          <w:sz w:val="24"/>
        </w:rPr>
        <w:t>*Target benchmark from Anderson &amp; Martin (2023) meta-analysis [3].</w:t>
      </w:r>
    </w:p>
    <w:p w14:paraId="43C40C95" w14:textId="77777777" w:rsidR="00A009D4" w:rsidRDefault="00000000">
      <w:pPr>
        <w:keepNext/>
        <w:spacing w:before="280" w:after="80"/>
      </w:pPr>
      <w:r>
        <w:rPr>
          <w:rFonts w:ascii="Times New Roman" w:hAnsi="Times New Roman"/>
          <w:b/>
          <w:sz w:val="24"/>
        </w:rPr>
        <w:t>2.5 Critical Synthesis and Research Gap</w:t>
      </w:r>
    </w:p>
    <w:p w14:paraId="53237AAF" w14:textId="77777777" w:rsidR="00A009D4" w:rsidRDefault="00000000">
      <w:pPr>
        <w:spacing w:after="120"/>
        <w:jc w:val="both"/>
      </w:pPr>
      <w:r>
        <w:rPr>
          <w:rFonts w:ascii="Times New Roman" w:hAnsi="Times New Roman"/>
          <w:sz w:val="24"/>
        </w:rPr>
        <w:t>Synthesising across cognitive science, phishing psychology, gamification theory, and existing tool reviews, a documentable gap emerges: no widely available platform combines zero-install browser deployment, social media DM scenario simulation in a realistic smartphone interface, a rigorous nine-mechanic pedagogical framework, complete front-end-only operation with no credential collection, and real participant pre/post evaluation evidence — all within a single cohesive system. InfoGuard was designed to demonstrate that this combination is both technically feasible and educationally effective at proof-of-concept scale.</w:t>
      </w:r>
    </w:p>
    <w:p w14:paraId="13265B27" w14:textId="77777777" w:rsidR="00A009D4" w:rsidRDefault="00000000">
      <w:r>
        <w:br w:type="page"/>
      </w:r>
    </w:p>
    <w:p w14:paraId="418396E6" w14:textId="77777777" w:rsidR="00A009D4" w:rsidRDefault="00000000">
      <w:pPr>
        <w:spacing w:before="360" w:after="160"/>
        <w:jc w:val="center"/>
      </w:pPr>
      <w:r>
        <w:rPr>
          <w:rFonts w:ascii="Times New Roman" w:hAnsi="Times New Roman"/>
          <w:b/>
          <w:sz w:val="28"/>
        </w:rPr>
        <w:lastRenderedPageBreak/>
        <w:t>Chapter 3: Methodology</w:t>
      </w:r>
    </w:p>
    <w:p w14:paraId="7040C414" w14:textId="77777777" w:rsidR="00A009D4" w:rsidRDefault="00000000">
      <w:pPr>
        <w:keepNext/>
        <w:spacing w:before="280" w:after="80"/>
      </w:pPr>
      <w:r>
        <w:rPr>
          <w:rFonts w:ascii="Times New Roman" w:hAnsi="Times New Roman"/>
          <w:b/>
          <w:sz w:val="24"/>
        </w:rPr>
        <w:t>3.1 Research Design — Design Science Research</w:t>
      </w:r>
    </w:p>
    <w:p w14:paraId="7FAF1AE3" w14:textId="77777777" w:rsidR="00A009D4" w:rsidRDefault="00000000">
      <w:pPr>
        <w:spacing w:after="120"/>
        <w:jc w:val="both"/>
      </w:pPr>
      <w:r>
        <w:rPr>
          <w:rFonts w:ascii="Times New Roman" w:hAnsi="Times New Roman"/>
          <w:sz w:val="24"/>
        </w:rPr>
        <w:t>This project adopts Design Science Research (DSR) as its overarching epistemological framework, following the six-phase model by Peffers et al. (2007) [14]. DSR is appropriate when the objective is to create and evaluate an artefact addressing a specific practical problem. InfoGuard is the primary artefact, and its development must satisfy both technical criteria (does it function correctly?) and theoretical criteria (does the design align with learning science?). The six phases were applied as follows: (1) Problem identification — establishing the gap between training and behavioural change; (2) Objective definition — specifying success criteria technically and educationally; (3) Design and development — building InfoGuard iteratively in Visual Studio Code; (4) Demonstration — functional and cross-browser testing; (5) Evaluation — participant questionnaire data collection; and (6) Communication — this dissertation.</w:t>
      </w:r>
    </w:p>
    <w:p w14:paraId="7BA77EC2" w14:textId="77777777" w:rsidR="00A009D4" w:rsidRDefault="00000000">
      <w:pPr>
        <w:keepNext/>
        <w:spacing w:before="280" w:after="80"/>
      </w:pPr>
      <w:r>
        <w:rPr>
          <w:rFonts w:ascii="Times New Roman" w:hAnsi="Times New Roman"/>
          <w:b/>
          <w:sz w:val="24"/>
        </w:rPr>
        <w:t>3.2 Development Approach — Agile Methodology</w:t>
      </w:r>
    </w:p>
    <w:p w14:paraId="63B6C1E6" w14:textId="77777777" w:rsidR="00A009D4" w:rsidRDefault="00000000">
      <w:pPr>
        <w:spacing w:after="120"/>
        <w:jc w:val="both"/>
      </w:pPr>
      <w:r>
        <w:rPr>
          <w:rFonts w:ascii="Times New Roman" w:hAnsi="Times New Roman"/>
          <w:sz w:val="24"/>
        </w:rPr>
        <w:t>An Agile development methodology was selected for its iterative, user-centred approach suited to projects where requirements evolve through development. The 20-week timeline was structured across five phases: Planning (Weeks 1–3) — literature review and requirements definition; Design (Weeks 4–6) — interface wireframing and scenario scripting; Development (Weeks 7–14) — iterative front-end implementation; Evaluation (Weeks 15–18) — questionnaire administration; Documentation (Weeks 19–20) — report writing. Visual Studio Code served as the primary IDE throughout, providing native Git integration, live HTML preview, and HTML/CSS/JavaScript support. Version control was managed via Git with the production build deployed to GitHub Pages for permanent public accessibility.</w:t>
      </w:r>
    </w:p>
    <w:p w14:paraId="75398445" w14:textId="77777777" w:rsidR="00A009D4" w:rsidRDefault="00000000">
      <w:pPr>
        <w:keepNext/>
        <w:spacing w:before="280" w:after="80"/>
      </w:pPr>
      <w:r>
        <w:rPr>
          <w:rFonts w:ascii="Times New Roman" w:hAnsi="Times New Roman"/>
          <w:b/>
          <w:sz w:val="24"/>
        </w:rPr>
        <w:t>3.3 Data Collection and Analysis</w:t>
      </w:r>
    </w:p>
    <w:p w14:paraId="3A94449A" w14:textId="77777777" w:rsidR="00A009D4" w:rsidRDefault="00000000">
      <w:pPr>
        <w:spacing w:after="120"/>
        <w:jc w:val="both"/>
      </w:pPr>
      <w:r>
        <w:rPr>
          <w:rFonts w:ascii="Times New Roman" w:hAnsi="Times New Roman"/>
          <w:sz w:val="24"/>
        </w:rPr>
        <w:t>Primary evaluation data was collected using paired pre- and post-game questionnaires administered via Microsoft Forms. The pre-game questionnaire established a baseline awareness profile across nineteen Likert-scale and multiple-choice indicators before any InfoGuard interaction. The post-game questionnaire was completed immediately after each participant's ten-round session, capturing self-reported changes in awareness, confidence, and engagement. Six participants from the BSc Cybersecurity cohort at the University of Staffordshire London completed the pre-game questionnaire (March–April 2026); five completed the post-game questionnaire. Quantitative Likert-scale data was analysed descriptively through frequency distributions and directional pre/post comparisons. Qualitative open-text responses were reviewed thematically. Given the sample size, all analysis is explicitly framed as exploratory and indicative.</w:t>
      </w:r>
    </w:p>
    <w:p w14:paraId="65189365" w14:textId="77777777" w:rsidR="00A009D4" w:rsidRDefault="00000000">
      <w:pPr>
        <w:spacing w:after="120"/>
        <w:jc w:val="both"/>
      </w:pPr>
      <w:r>
        <w:rPr>
          <w:rFonts w:ascii="Times New Roman" w:hAnsi="Times New Roman"/>
          <w:sz w:val="24"/>
        </w:rPr>
        <w:lastRenderedPageBreak/>
        <w:t>The decision to use Microsoft Forms as the questionnaire platform was informed by several practical and ethical considerations. Forms does not require participants to create an account or disclose personal details beyond their responses, reducing participation friction and privacy risk. Responses are recorded in real time and exportable as Excel spreadsheets, facilitating straightforward descriptive analysis. The questionnaire design followed established guidelines for Likert-scale survey construction, using five-point response scales (Strongly Agree to Strongly Disagree) consistently across all attitudinal items to support valid directional pre/post comparison. Items were drawn from validated cybersecurity awareness measurement frameworks to ensure construct validity within the exploratory scope of the study.</w:t>
      </w:r>
    </w:p>
    <w:p w14:paraId="7ADB8685" w14:textId="77777777" w:rsidR="00A009D4" w:rsidRDefault="00000000">
      <w:pPr>
        <w:keepNext/>
        <w:spacing w:before="280" w:after="80"/>
      </w:pPr>
      <w:r>
        <w:rPr>
          <w:rFonts w:ascii="Times New Roman" w:hAnsi="Times New Roman"/>
          <w:b/>
          <w:sz w:val="24"/>
        </w:rPr>
        <w:t>3.4 Ethical Framework</w:t>
      </w:r>
    </w:p>
    <w:p w14:paraId="52C48DAF" w14:textId="77777777" w:rsidR="00A009D4" w:rsidRDefault="00000000">
      <w:pPr>
        <w:spacing w:after="120"/>
        <w:jc w:val="both"/>
      </w:pPr>
      <w:r>
        <w:rPr>
          <w:rFonts w:ascii="Times New Roman" w:hAnsi="Times New Roman"/>
          <w:sz w:val="24"/>
        </w:rPr>
        <w:t>All participant engagement was conducted in accordance with the University of Staffordshire's ethical guidelines and UK GDPR requirements. Participation was entirely voluntary; all participants were informed of the project's purpose before completing either questionnaire and were free to withdraw at any time without consequence. Questionnaire responses are anonymised in this report using participant identifiers P1–P6 and were used solely for this academic project.</w:t>
      </w:r>
    </w:p>
    <w:p w14:paraId="597C45AB" w14:textId="77777777" w:rsidR="00A009D4" w:rsidRDefault="00000000">
      <w:pPr>
        <w:spacing w:after="120"/>
        <w:jc w:val="both"/>
      </w:pPr>
      <w:r>
        <w:rPr>
          <w:rFonts w:ascii="Times New Roman" w:hAnsi="Times New Roman"/>
          <w:sz w:val="24"/>
        </w:rPr>
        <w:t>InfoGuard itself collects no user data of any kind. The platform is entirely front-end with no backend server, no database, no cookies, and no external data transmission. No credentials are entered, stored, or transmitted at any point. The in-game sender profiles are algorithmically generated fictional characters from a randomised name pool, bearing no resemblance to real individuals. A full ethical discussion is provided in Chapter 7.</w:t>
      </w:r>
    </w:p>
    <w:p w14:paraId="0F899BD2" w14:textId="77777777" w:rsidR="00A009D4" w:rsidRDefault="00000000">
      <w:r>
        <w:br w:type="page"/>
      </w:r>
    </w:p>
    <w:p w14:paraId="2D2B93F1" w14:textId="77777777" w:rsidR="00A009D4" w:rsidRDefault="00000000">
      <w:pPr>
        <w:spacing w:before="360" w:after="160"/>
        <w:jc w:val="center"/>
      </w:pPr>
      <w:r>
        <w:rPr>
          <w:rFonts w:ascii="Times New Roman" w:hAnsi="Times New Roman"/>
          <w:b/>
          <w:sz w:val="28"/>
        </w:rPr>
        <w:lastRenderedPageBreak/>
        <w:t>Chapter 4: System Design</w:t>
      </w:r>
    </w:p>
    <w:p w14:paraId="7BD7576B" w14:textId="77777777" w:rsidR="00A009D4" w:rsidRDefault="00000000">
      <w:pPr>
        <w:keepNext/>
        <w:spacing w:before="280" w:after="80"/>
      </w:pPr>
      <w:r>
        <w:rPr>
          <w:rFonts w:ascii="Times New Roman" w:hAnsi="Times New Roman"/>
          <w:b/>
          <w:sz w:val="24"/>
        </w:rPr>
        <w:t>4.1 Design Principles</w:t>
      </w:r>
    </w:p>
    <w:p w14:paraId="0F41A008" w14:textId="77777777" w:rsidR="00A009D4" w:rsidRDefault="00000000">
      <w:pPr>
        <w:spacing w:after="120"/>
        <w:jc w:val="both"/>
      </w:pPr>
      <w:r>
        <w:rPr>
          <w:rFonts w:ascii="Times New Roman" w:hAnsi="Times New Roman"/>
          <w:sz w:val="24"/>
        </w:rPr>
        <w:t>InfoGuard's system design was governed by four core principles derived directly from the Chapter 2 literature synthesis. First, contextual authenticity: the simulation interface must replicate the visual environment in which real attacks occur — a social media DM screen within a smartphone frame — so that training transfers to real threat recognition, not just quiz performance. Second, cognitive load minimisation: per Sweller's (1988) Cognitive Load Theory, interface complexity must be minimised so users direct all working memory towards evaluating each scenario rather than operating the interface [15]. Third, immediate feedback: every decision must produce an instant educational consequence, reinforcing correct reasoning and correcting errors before the next round. Fourth, zero friction access: the platform must function on any modern browser without installation, accounts, or server dependencies — a GitHub Pages deployment satisfies this requirement completely.</w:t>
      </w:r>
    </w:p>
    <w:p w14:paraId="63A505A1" w14:textId="77777777" w:rsidR="00A009D4" w:rsidRDefault="00000000">
      <w:pPr>
        <w:spacing w:after="120"/>
        <w:jc w:val="both"/>
      </w:pPr>
      <w:r>
        <w:rPr>
          <w:rFonts w:ascii="Times New Roman" w:hAnsi="Times New Roman"/>
          <w:sz w:val="24"/>
        </w:rPr>
        <w:t>A fifth principle — inclusivity — shaped several secondary design decisions. The platform uses system font stacks (-apple-system, BlinkMacSystemFont, Segoe UI, Roboto, Helvetica, Arial) rather than web-loaded custom fonts, ensuring that text renders correctly and consistently across all operating systems and device configurations without requiring additional font downloads. Colour choices for the decision buttons use hue-distinct combinations (green for safe, amber for suspicious, red for phishing) with accompanying text labels and emoji icons, ensuring that colour-blind users are not disadvantaged by relying on colour differentiation alone. The three-button layout uses large touch targets and generous padding, supporting accessibility for users on touchscreen devices.</w:t>
      </w:r>
    </w:p>
    <w:p w14:paraId="4CD5F091" w14:textId="77777777" w:rsidR="00A009D4" w:rsidRDefault="00000000">
      <w:pPr>
        <w:keepNext/>
        <w:spacing w:before="280" w:after="80"/>
      </w:pPr>
      <w:r>
        <w:rPr>
          <w:rFonts w:ascii="Times New Roman" w:hAnsi="Times New Roman"/>
          <w:b/>
          <w:sz w:val="24"/>
        </w:rPr>
        <w:t>4.2 Platform Architecture</w:t>
      </w:r>
    </w:p>
    <w:p w14:paraId="467AC6EA" w14:textId="77777777" w:rsidR="00A009D4" w:rsidRDefault="00000000">
      <w:pPr>
        <w:spacing w:after="120"/>
        <w:jc w:val="both"/>
      </w:pPr>
      <w:r>
        <w:rPr>
          <w:rFonts w:ascii="Times New Roman" w:hAnsi="Times New Roman"/>
          <w:sz w:val="24"/>
        </w:rPr>
        <w:t>InfoGuard is a single-file, front-end-only web application. The entire platform — simulation logic, scenario data, profile generation, feedback system, scoring, and Three.js background rendering — is contained within a single HTML file comprising HTML5 structure, CSS3 styling, and JavaScript logic. Three.js is loaded via CDN import map, requiring no build pipeline, no package manager, and no server-side processing. The platform is hosted on GitHub Pages, which serves the static file directly to any browser worldwide.</w:t>
      </w:r>
    </w:p>
    <w:p w14:paraId="6F2DC97C" w14:textId="77777777" w:rsidR="00A009D4" w:rsidRDefault="00000000">
      <w:pPr>
        <w:spacing w:after="120"/>
        <w:jc w:val="both"/>
      </w:pPr>
      <w:r>
        <w:rPr>
          <w:rFonts w:ascii="Times New Roman" w:hAnsi="Times New Roman"/>
          <w:sz w:val="24"/>
        </w:rPr>
        <w:t>This architecture was a deliberate design choice rather than a technical limitation. A front-end-only system eliminates: (1) backend server infrastructure and its associated security attack surface; (2) database credential storage with the privacy and compliance risks it introduces; (3) deployment complexity that would create access barriers for participants; and (4) any possibility of inadvertently capturing or storing user data. The architecture is transparent by design — users and project reviewers can inspect the full source code at any time.</w:t>
      </w:r>
    </w:p>
    <w:p w14:paraId="4A978904" w14:textId="77777777" w:rsidR="00A009D4" w:rsidRDefault="00000000">
      <w:pPr>
        <w:spacing w:after="120"/>
        <w:jc w:val="both"/>
      </w:pPr>
      <w:r>
        <w:rPr>
          <w:rFonts w:ascii="Times New Roman" w:hAnsi="Times New Roman"/>
          <w:sz w:val="24"/>
        </w:rPr>
        <w:lastRenderedPageBreak/>
        <w:t>The decision to implement InfoGuard as a single-file application deserves specific justification from a software architecture perspective. Single-file HTML applications trade modularity for deployment simplicity, which is the correct trade-off for a proof-of-concept educational tool targeting zero-friction access. In a production organisational deployment, the architecture would naturally evolve towards component separation — separate CSS and JavaScript files, a build pipeline, and potentially a lightweight backend for aggregate anonymous analytics. However, for the evaluation scope of this project, the single-file approach provided a direct and transparent path from development to deployment that served both the technical and ethical requirements of the project: any reviewer can open the source file and read every line of logic without requiring a development environment, build tools, or server access.</w:t>
      </w:r>
    </w:p>
    <w:p w14:paraId="327038BE" w14:textId="77777777" w:rsidR="00A009D4" w:rsidRDefault="00000000">
      <w:pPr>
        <w:spacing w:after="120"/>
        <w:jc w:val="both"/>
      </w:pPr>
      <w:r>
        <w:rPr>
          <w:rFonts w:ascii="Times New Roman" w:hAnsi="Times New Roman"/>
          <w:sz w:val="24"/>
        </w:rPr>
        <w:t>The platform is structured across three distinct screens managed through CSS class toggling: the Start Screen (glass-panel welcome and mission briefing), the Game Screen (the full smartphone simulation interface), and the End Screen (personalised scorecard with badge, score, speed rating, and improvement panel). A persistent HUD overlay displays the current round number and running score during gameplay.</w:t>
      </w:r>
    </w:p>
    <w:p w14:paraId="163DA625" w14:textId="77777777" w:rsidR="00A009D4" w:rsidRDefault="00000000">
      <w:pPr>
        <w:spacing w:after="120"/>
        <w:jc w:val="both"/>
      </w:pPr>
      <w:r>
        <w:rPr>
          <w:rFonts w:ascii="Times New Roman" w:hAnsi="Times New Roman"/>
          <w:sz w:val="24"/>
        </w:rPr>
        <w:t>The CSS z-index layering strategy used to manage InfoGuard's UI components is worth noting as a technical design decision. The Three.js WebGL canvas occupies z-index 1 as a purely visual background layer. The main UI layer sits at z-index 2 with pointer-events: none applied globally, ensuring mouse and touch events pass through to child interactive elements only. Within the game screen, individual overlays (feedback, profile, link warning) are assigned z-index 20, ensuring they always render above the phone frame and decision panel. This layering architecture keeps the interactive and visual rendering systems cleanly separated without requiring JavaScript-managed visibility toggling for each state transition.</w:t>
      </w:r>
    </w:p>
    <w:p w14:paraId="561B9A1A" w14:textId="77777777" w:rsidR="00A009D4" w:rsidRDefault="00000000">
      <w:pPr>
        <w:keepNext/>
        <w:spacing w:before="280" w:after="80"/>
      </w:pPr>
      <w:r>
        <w:rPr>
          <w:rFonts w:ascii="Times New Roman" w:hAnsi="Times New Roman"/>
          <w:b/>
          <w:sz w:val="24"/>
        </w:rPr>
        <w:t>4.3 Scenario and Feedback Engine</w:t>
      </w:r>
    </w:p>
    <w:p w14:paraId="7BF3CE47" w14:textId="77777777" w:rsidR="00A009D4" w:rsidRDefault="00000000">
      <w:pPr>
        <w:spacing w:after="120"/>
        <w:jc w:val="both"/>
      </w:pPr>
      <w:r>
        <w:rPr>
          <w:rFonts w:ascii="Times New Roman" w:hAnsi="Times New Roman"/>
          <w:sz w:val="24"/>
        </w:rPr>
        <w:t>The scenario engine draws from a pool of thirteen classified messages: five safe conversations, four suspicious messages requiring verification, and four phishing attacks with malicious intent. At the start of each session, the JavaScript Fisher-Yates shuffle algorithm independently randomises each category before selecting four safe, three suspicious, and three phishing scenarios for that session. A second shuffle pass randomises the order of the ten selected scenarios. This two-stage randomisation ensures that no two sessions present the same scenario sequence, supporting the spaced-repetition benefit of repeated play described by Ebbinghaus (1885) [13].</w:t>
      </w:r>
    </w:p>
    <w:p w14:paraId="533D7D24" w14:textId="77777777" w:rsidR="00A009D4" w:rsidRDefault="00000000">
      <w:pPr>
        <w:spacing w:after="120"/>
        <w:jc w:val="both"/>
      </w:pPr>
      <w:r>
        <w:rPr>
          <w:rFonts w:ascii="Times New Roman" w:hAnsi="Times New Roman"/>
          <w:sz w:val="24"/>
        </w:rPr>
        <w:t xml:space="preserve">Each scenario is paired with a dynamically generated fictional sender profile drawn from a 70-name pool. Profile characteristics are statistically weighted by scenario type: phishing profiles receive low follower counts (under 40), zero mutual connections, recent join dates, and suspicious bio text — the precise red-flag indicators users are trained to identify. Safe </w:t>
      </w:r>
      <w:r>
        <w:rPr>
          <w:rFonts w:ascii="Times New Roman" w:hAnsi="Times New Roman"/>
          <w:sz w:val="24"/>
        </w:rPr>
        <w:lastRenderedPageBreak/>
        <w:t>and suspicious profiles receive realistic follower counts, multiple mutual connections, and established join dates. This statistical weighting means that inspecting a sender profile provides genuine investigative value, directly training users in real-world account credibility assessment.</w:t>
      </w:r>
    </w:p>
    <w:p w14:paraId="78F6B7F3" w14:textId="77777777" w:rsidR="00A009D4" w:rsidRDefault="00000000">
      <w:pPr>
        <w:keepNext/>
        <w:spacing w:before="280" w:after="80"/>
      </w:pPr>
      <w:r>
        <w:rPr>
          <w:rFonts w:ascii="Times New Roman" w:hAnsi="Times New Roman"/>
          <w:b/>
          <w:sz w:val="24"/>
        </w:rPr>
        <w:t>4.4 Pedagogical Design Framework</w:t>
      </w:r>
    </w:p>
    <w:p w14:paraId="2BFBD85E" w14:textId="77777777" w:rsidR="00A009D4" w:rsidRDefault="00000000">
      <w:pPr>
        <w:spacing w:after="120"/>
        <w:jc w:val="both"/>
      </w:pPr>
      <w:r>
        <w:rPr>
          <w:rFonts w:ascii="Times New Roman" w:hAnsi="Times New Roman"/>
          <w:sz w:val="24"/>
        </w:rPr>
        <w:t>The InfoGuard pedagogical design framework maps nine game mechanics to nine established learning science theories, ensuring every design decision is theoretically justified rather than intuitively chosen.</w:t>
      </w:r>
    </w:p>
    <w:tbl>
      <w:tblPr>
        <w:tblStyle w:val="TableGrid"/>
        <w:tblW w:w="0" w:type="auto"/>
        <w:tblLook w:val="04A0" w:firstRow="1" w:lastRow="0" w:firstColumn="1" w:lastColumn="0" w:noHBand="0" w:noVBand="1"/>
      </w:tblPr>
      <w:tblGrid>
        <w:gridCol w:w="2383"/>
        <w:gridCol w:w="2641"/>
        <w:gridCol w:w="3606"/>
      </w:tblGrid>
      <w:tr w:rsidR="00A009D4" w14:paraId="4F41AB48" w14:textId="77777777">
        <w:tc>
          <w:tcPr>
            <w:tcW w:w="2592" w:type="dxa"/>
          </w:tcPr>
          <w:p w14:paraId="77A867FC" w14:textId="77777777" w:rsidR="00A009D4" w:rsidRDefault="00000000">
            <w:pPr>
              <w:jc w:val="center"/>
            </w:pPr>
            <w:r>
              <w:rPr>
                <w:rFonts w:ascii="Times New Roman" w:hAnsi="Times New Roman"/>
                <w:b/>
                <w:sz w:val="20"/>
              </w:rPr>
              <w:t>Game Mechanic</w:t>
            </w:r>
          </w:p>
        </w:tc>
        <w:tc>
          <w:tcPr>
            <w:tcW w:w="2880" w:type="dxa"/>
          </w:tcPr>
          <w:p w14:paraId="12AA2696" w14:textId="77777777" w:rsidR="00A009D4" w:rsidRDefault="00000000">
            <w:pPr>
              <w:jc w:val="center"/>
            </w:pPr>
            <w:r>
              <w:rPr>
                <w:rFonts w:ascii="Times New Roman" w:hAnsi="Times New Roman"/>
                <w:b/>
                <w:sz w:val="20"/>
              </w:rPr>
              <w:t>Learning Theory</w:t>
            </w:r>
          </w:p>
        </w:tc>
        <w:tc>
          <w:tcPr>
            <w:tcW w:w="4032" w:type="dxa"/>
          </w:tcPr>
          <w:p w14:paraId="2496FBAC" w14:textId="77777777" w:rsidR="00A009D4" w:rsidRDefault="00000000">
            <w:pPr>
              <w:jc w:val="center"/>
            </w:pPr>
            <w:r>
              <w:rPr>
                <w:rFonts w:ascii="Times New Roman" w:hAnsi="Times New Roman"/>
                <w:b/>
                <w:sz w:val="20"/>
              </w:rPr>
              <w:t>Educational Outcome</w:t>
            </w:r>
          </w:p>
        </w:tc>
      </w:tr>
      <w:tr w:rsidR="00A009D4" w14:paraId="37244DF9" w14:textId="77777777">
        <w:tc>
          <w:tcPr>
            <w:tcW w:w="2592" w:type="dxa"/>
          </w:tcPr>
          <w:p w14:paraId="2554D308" w14:textId="77777777" w:rsidR="00A009D4" w:rsidRDefault="00000000">
            <w:r>
              <w:rPr>
                <w:rFonts w:ascii="Times New Roman" w:hAnsi="Times New Roman"/>
                <w:sz w:val="20"/>
              </w:rPr>
              <w:t>Instagram DM interface</w:t>
            </w:r>
          </w:p>
        </w:tc>
        <w:tc>
          <w:tcPr>
            <w:tcW w:w="2880" w:type="dxa"/>
          </w:tcPr>
          <w:p w14:paraId="4230A6A2" w14:textId="77777777" w:rsidR="00A009D4" w:rsidRDefault="00000000">
            <w:r>
              <w:rPr>
                <w:rFonts w:ascii="Times New Roman" w:hAnsi="Times New Roman"/>
                <w:sz w:val="20"/>
              </w:rPr>
              <w:t>Situated Learning (Lave &amp; Wenger, 1991)</w:t>
            </w:r>
          </w:p>
        </w:tc>
        <w:tc>
          <w:tcPr>
            <w:tcW w:w="4032" w:type="dxa"/>
          </w:tcPr>
          <w:p w14:paraId="5F756EB0" w14:textId="77777777" w:rsidR="00A009D4" w:rsidRDefault="00000000">
            <w:r>
              <w:rPr>
                <w:rFonts w:ascii="Times New Roman" w:hAnsi="Times New Roman"/>
                <w:sz w:val="20"/>
              </w:rPr>
              <w:t>Immediate real-world recognition</w:t>
            </w:r>
          </w:p>
        </w:tc>
      </w:tr>
      <w:tr w:rsidR="00A009D4" w14:paraId="27AB6AF2" w14:textId="77777777">
        <w:tc>
          <w:tcPr>
            <w:tcW w:w="2592" w:type="dxa"/>
          </w:tcPr>
          <w:p w14:paraId="06D022DA" w14:textId="77777777" w:rsidR="00A009D4" w:rsidRDefault="00000000">
            <w:r>
              <w:rPr>
                <w:rFonts w:ascii="Times New Roman" w:hAnsi="Times New Roman"/>
                <w:sz w:val="20"/>
              </w:rPr>
              <w:t>Authentic phishing DM scenarios</w:t>
            </w:r>
          </w:p>
        </w:tc>
        <w:tc>
          <w:tcPr>
            <w:tcW w:w="2880" w:type="dxa"/>
          </w:tcPr>
          <w:p w14:paraId="79D5AD0E" w14:textId="77777777" w:rsidR="00A009D4" w:rsidRDefault="00000000">
            <w:r>
              <w:rPr>
                <w:rFonts w:ascii="Times New Roman" w:hAnsi="Times New Roman"/>
                <w:sz w:val="20"/>
              </w:rPr>
              <w:t>Social Learning Theory (Bandura, 1977)</w:t>
            </w:r>
          </w:p>
        </w:tc>
        <w:tc>
          <w:tcPr>
            <w:tcW w:w="4032" w:type="dxa"/>
          </w:tcPr>
          <w:p w14:paraId="155CE434" w14:textId="77777777" w:rsidR="00A009D4" w:rsidRDefault="00000000">
            <w:r>
              <w:rPr>
                <w:rFonts w:ascii="Times New Roman" w:hAnsi="Times New Roman"/>
                <w:sz w:val="20"/>
              </w:rPr>
              <w:t>Internalises phishing message structure</w:t>
            </w:r>
          </w:p>
        </w:tc>
      </w:tr>
      <w:tr w:rsidR="00A009D4" w14:paraId="3A2D3058" w14:textId="77777777">
        <w:tc>
          <w:tcPr>
            <w:tcW w:w="2592" w:type="dxa"/>
          </w:tcPr>
          <w:p w14:paraId="76328766" w14:textId="77777777" w:rsidR="00A009D4" w:rsidRDefault="00000000">
            <w:r>
              <w:rPr>
                <w:rFonts w:ascii="Times New Roman" w:hAnsi="Times New Roman"/>
                <w:sz w:val="20"/>
              </w:rPr>
              <w:t>Dynamic fictional sender profiles</w:t>
            </w:r>
          </w:p>
        </w:tc>
        <w:tc>
          <w:tcPr>
            <w:tcW w:w="2880" w:type="dxa"/>
          </w:tcPr>
          <w:p w14:paraId="0B814AD2" w14:textId="77777777" w:rsidR="00A009D4" w:rsidRDefault="00000000">
            <w:r>
              <w:rPr>
                <w:rFonts w:ascii="Times New Roman" w:hAnsi="Times New Roman"/>
                <w:sz w:val="20"/>
              </w:rPr>
              <w:t>Cognitive Load Theory (Sweller, 1988)</w:t>
            </w:r>
          </w:p>
        </w:tc>
        <w:tc>
          <w:tcPr>
            <w:tcW w:w="4032" w:type="dxa"/>
          </w:tcPr>
          <w:p w14:paraId="7A200A04" w14:textId="77777777" w:rsidR="00A009D4" w:rsidRDefault="00000000">
            <w:r>
              <w:rPr>
                <w:rFonts w:ascii="Times New Roman" w:hAnsi="Times New Roman"/>
                <w:sz w:val="20"/>
              </w:rPr>
              <w:t>Account credibility signals with low extraneous load</w:t>
            </w:r>
          </w:p>
        </w:tc>
      </w:tr>
      <w:tr w:rsidR="00A009D4" w14:paraId="726951E0" w14:textId="77777777">
        <w:tc>
          <w:tcPr>
            <w:tcW w:w="2592" w:type="dxa"/>
          </w:tcPr>
          <w:p w14:paraId="72A4613B" w14:textId="77777777" w:rsidR="00A009D4" w:rsidRDefault="00000000">
            <w:r>
              <w:rPr>
                <w:rFonts w:ascii="Times New Roman" w:hAnsi="Times New Roman"/>
                <w:sz w:val="20"/>
              </w:rPr>
              <w:t>3-way DM classification</w:t>
            </w:r>
          </w:p>
        </w:tc>
        <w:tc>
          <w:tcPr>
            <w:tcW w:w="2880" w:type="dxa"/>
          </w:tcPr>
          <w:p w14:paraId="2732F64B" w14:textId="77777777" w:rsidR="00A009D4" w:rsidRDefault="00000000">
            <w:r>
              <w:rPr>
                <w:rFonts w:ascii="Times New Roman" w:hAnsi="Times New Roman"/>
                <w:sz w:val="20"/>
              </w:rPr>
              <w:t>Self-Determination Theory (Deci &amp; Ryan, 2000)</w:t>
            </w:r>
          </w:p>
        </w:tc>
        <w:tc>
          <w:tcPr>
            <w:tcW w:w="4032" w:type="dxa"/>
          </w:tcPr>
          <w:p w14:paraId="691F5769" w14:textId="77777777" w:rsidR="00A009D4" w:rsidRDefault="00000000">
            <w:r>
              <w:rPr>
                <w:rFonts w:ascii="Times New Roman" w:hAnsi="Times New Roman"/>
                <w:sz w:val="20"/>
              </w:rPr>
              <w:t>Genuine autonomous agency each round</w:t>
            </w:r>
          </w:p>
        </w:tc>
      </w:tr>
      <w:tr w:rsidR="00A009D4" w14:paraId="64826D4F" w14:textId="77777777">
        <w:tc>
          <w:tcPr>
            <w:tcW w:w="2592" w:type="dxa"/>
          </w:tcPr>
          <w:p w14:paraId="4D76EC72" w14:textId="77777777" w:rsidR="00A009D4" w:rsidRDefault="00000000">
            <w:r>
              <w:rPr>
                <w:rFonts w:ascii="Times New Roman" w:hAnsi="Times New Roman"/>
                <w:sz w:val="20"/>
              </w:rPr>
              <w:t>Immediate per-round feedback</w:t>
            </w:r>
          </w:p>
        </w:tc>
        <w:tc>
          <w:tcPr>
            <w:tcW w:w="2880" w:type="dxa"/>
          </w:tcPr>
          <w:p w14:paraId="6659A4CF" w14:textId="77777777" w:rsidR="00A009D4" w:rsidRDefault="00000000">
            <w:r>
              <w:rPr>
                <w:rFonts w:ascii="Times New Roman" w:hAnsi="Times New Roman"/>
                <w:sz w:val="20"/>
              </w:rPr>
              <w:t>Operant Conditioning (Skinner, 1938)</w:t>
            </w:r>
          </w:p>
        </w:tc>
        <w:tc>
          <w:tcPr>
            <w:tcW w:w="4032" w:type="dxa"/>
          </w:tcPr>
          <w:p w14:paraId="18147969" w14:textId="77777777" w:rsidR="00A009D4" w:rsidRDefault="00000000">
            <w:r>
              <w:rPr>
                <w:rFonts w:ascii="Times New Roman" w:hAnsi="Times New Roman"/>
                <w:sz w:val="20"/>
              </w:rPr>
              <w:t>Correct behaviour reinforced immediately</w:t>
            </w:r>
          </w:p>
        </w:tc>
      </w:tr>
      <w:tr w:rsidR="00A009D4" w14:paraId="7188E42E" w14:textId="77777777">
        <w:tc>
          <w:tcPr>
            <w:tcW w:w="2592" w:type="dxa"/>
          </w:tcPr>
          <w:p w14:paraId="7AA86A6E" w14:textId="77777777" w:rsidR="00A009D4" w:rsidRDefault="00000000">
            <w:r>
              <w:rPr>
                <w:rFonts w:ascii="Times New Roman" w:hAnsi="Times New Roman"/>
                <w:sz w:val="20"/>
              </w:rPr>
              <w:t>Personalised scorecard</w:t>
            </w:r>
          </w:p>
        </w:tc>
        <w:tc>
          <w:tcPr>
            <w:tcW w:w="2880" w:type="dxa"/>
          </w:tcPr>
          <w:p w14:paraId="2A07EC08" w14:textId="77777777" w:rsidR="00A009D4" w:rsidRDefault="00000000">
            <w:r>
              <w:rPr>
                <w:rFonts w:ascii="Times New Roman" w:hAnsi="Times New Roman"/>
                <w:sz w:val="20"/>
              </w:rPr>
              <w:t>Metacognitive Theory (Flavell, 1979)</w:t>
            </w:r>
          </w:p>
        </w:tc>
        <w:tc>
          <w:tcPr>
            <w:tcW w:w="4032" w:type="dxa"/>
          </w:tcPr>
          <w:p w14:paraId="0CF6C24E" w14:textId="77777777" w:rsidR="00A009D4" w:rsidRDefault="00000000">
            <w:r>
              <w:rPr>
                <w:rFonts w:ascii="Times New Roman" w:hAnsi="Times New Roman"/>
                <w:sz w:val="20"/>
              </w:rPr>
              <w:t>Identifies own vulnerability patterns</w:t>
            </w:r>
          </w:p>
        </w:tc>
      </w:tr>
      <w:tr w:rsidR="00A009D4" w14:paraId="25FE01C4" w14:textId="77777777">
        <w:tc>
          <w:tcPr>
            <w:tcW w:w="2592" w:type="dxa"/>
          </w:tcPr>
          <w:p w14:paraId="2BA69B3E" w14:textId="77777777" w:rsidR="00A009D4" w:rsidRDefault="00000000">
            <w:r>
              <w:rPr>
                <w:rFonts w:ascii="Times New Roman" w:hAnsi="Times New Roman"/>
                <w:sz w:val="20"/>
              </w:rPr>
              <w:t>Link click security block</w:t>
            </w:r>
          </w:p>
        </w:tc>
        <w:tc>
          <w:tcPr>
            <w:tcW w:w="2880" w:type="dxa"/>
          </w:tcPr>
          <w:p w14:paraId="319E6DF8" w14:textId="77777777" w:rsidR="00A009D4" w:rsidRDefault="00000000">
            <w:r>
              <w:rPr>
                <w:rFonts w:ascii="Times New Roman" w:hAnsi="Times New Roman"/>
                <w:sz w:val="20"/>
              </w:rPr>
              <w:t>Emotional Learning (Damasio, 1994)</w:t>
            </w:r>
          </w:p>
        </w:tc>
        <w:tc>
          <w:tcPr>
            <w:tcW w:w="4032" w:type="dxa"/>
          </w:tcPr>
          <w:p w14:paraId="25ED91C5" w14:textId="77777777" w:rsidR="00A009D4" w:rsidRDefault="00000000">
            <w:r>
              <w:rPr>
                <w:rFonts w:ascii="Times New Roman" w:hAnsi="Times New Roman"/>
                <w:sz w:val="20"/>
              </w:rPr>
              <w:t>Visceral reinforcement of click danger</w:t>
            </w:r>
          </w:p>
        </w:tc>
      </w:tr>
      <w:tr w:rsidR="00A009D4" w14:paraId="2F82D135" w14:textId="77777777">
        <w:tc>
          <w:tcPr>
            <w:tcW w:w="2592" w:type="dxa"/>
          </w:tcPr>
          <w:p w14:paraId="1C9695D2" w14:textId="77777777" w:rsidR="00A009D4" w:rsidRDefault="00000000">
            <w:r>
              <w:rPr>
                <w:rFonts w:ascii="Times New Roman" w:hAnsi="Times New Roman"/>
                <w:sz w:val="20"/>
              </w:rPr>
              <w:t>Shuffled rounds on replay</w:t>
            </w:r>
          </w:p>
        </w:tc>
        <w:tc>
          <w:tcPr>
            <w:tcW w:w="2880" w:type="dxa"/>
          </w:tcPr>
          <w:p w14:paraId="57FE560E" w14:textId="77777777" w:rsidR="00A009D4" w:rsidRDefault="00000000">
            <w:r>
              <w:rPr>
                <w:rFonts w:ascii="Times New Roman" w:hAnsi="Times New Roman"/>
                <w:sz w:val="20"/>
              </w:rPr>
              <w:t>Spaced Practice (Ebbinghaus, 1885)</w:t>
            </w:r>
          </w:p>
        </w:tc>
        <w:tc>
          <w:tcPr>
            <w:tcW w:w="4032" w:type="dxa"/>
          </w:tcPr>
          <w:p w14:paraId="53383CD6" w14:textId="77777777" w:rsidR="00A009D4" w:rsidRDefault="00000000">
            <w:r>
              <w:rPr>
                <w:rFonts w:ascii="Times New Roman" w:hAnsi="Times New Roman"/>
                <w:sz w:val="20"/>
              </w:rPr>
              <w:t>Long-term pattern retention</w:t>
            </w:r>
          </w:p>
        </w:tc>
      </w:tr>
      <w:tr w:rsidR="00A009D4" w14:paraId="11E8DA8B" w14:textId="77777777">
        <w:tc>
          <w:tcPr>
            <w:tcW w:w="2592" w:type="dxa"/>
          </w:tcPr>
          <w:p w14:paraId="48A0B492" w14:textId="77777777" w:rsidR="00A009D4" w:rsidRDefault="00000000">
            <w:r>
              <w:rPr>
                <w:rFonts w:ascii="Times New Roman" w:hAnsi="Times New Roman"/>
                <w:sz w:val="20"/>
              </w:rPr>
              <w:t>Response speed indicator</w:t>
            </w:r>
          </w:p>
        </w:tc>
        <w:tc>
          <w:tcPr>
            <w:tcW w:w="2880" w:type="dxa"/>
          </w:tcPr>
          <w:p w14:paraId="583C2878" w14:textId="77777777" w:rsidR="00A009D4" w:rsidRDefault="00000000">
            <w:r>
              <w:rPr>
                <w:rFonts w:ascii="Times New Roman" w:hAnsi="Times New Roman"/>
                <w:sz w:val="20"/>
              </w:rPr>
              <w:t>Dual Process Theory (Kahneman, 2011)</w:t>
            </w:r>
          </w:p>
        </w:tc>
        <w:tc>
          <w:tcPr>
            <w:tcW w:w="4032" w:type="dxa"/>
          </w:tcPr>
          <w:p w14:paraId="16E95EDC" w14:textId="77777777" w:rsidR="00A009D4" w:rsidRDefault="00000000">
            <w:r>
              <w:rPr>
                <w:rFonts w:ascii="Times New Roman" w:hAnsi="Times New Roman"/>
                <w:sz w:val="20"/>
              </w:rPr>
              <w:t>Builds habit of slowing fast-thinking responses</w:t>
            </w:r>
          </w:p>
        </w:tc>
      </w:tr>
    </w:tbl>
    <w:p w14:paraId="2D14B7F3" w14:textId="77777777" w:rsidR="00A009D4" w:rsidRDefault="00A009D4"/>
    <w:p w14:paraId="0EE1BAA0" w14:textId="77777777" w:rsidR="00A009D4" w:rsidRDefault="00000000">
      <w:r>
        <w:br w:type="page"/>
      </w:r>
    </w:p>
    <w:p w14:paraId="04C13B55" w14:textId="77777777" w:rsidR="00A009D4" w:rsidRDefault="00000000">
      <w:pPr>
        <w:spacing w:before="360" w:after="160"/>
        <w:jc w:val="center"/>
      </w:pPr>
      <w:r>
        <w:rPr>
          <w:rFonts w:ascii="Times New Roman" w:hAnsi="Times New Roman"/>
          <w:b/>
          <w:sz w:val="28"/>
        </w:rPr>
        <w:lastRenderedPageBreak/>
        <w:t>Chapter 5: Implementation</w:t>
      </w:r>
    </w:p>
    <w:p w14:paraId="040DEFFE" w14:textId="77777777" w:rsidR="00A009D4" w:rsidRDefault="00000000">
      <w:pPr>
        <w:keepNext/>
        <w:spacing w:before="280" w:after="80"/>
      </w:pPr>
      <w:r>
        <w:rPr>
          <w:rFonts w:ascii="Times New Roman" w:hAnsi="Times New Roman"/>
          <w:b/>
          <w:sz w:val="24"/>
        </w:rPr>
        <w:t>5.1 Technology Stack and Development Environment</w:t>
      </w:r>
    </w:p>
    <w:p w14:paraId="25BC9B06" w14:textId="77777777" w:rsidR="00A009D4" w:rsidRDefault="00000000">
      <w:pPr>
        <w:spacing w:after="120"/>
        <w:jc w:val="both"/>
      </w:pPr>
      <w:r>
        <w:rPr>
          <w:rFonts w:ascii="Times New Roman" w:hAnsi="Times New Roman"/>
          <w:sz w:val="24"/>
        </w:rPr>
        <w:t>InfoGuard is implemented entirely using front-end web technologies. The full technology stack is as follows: HTML5 for semantic document structure and interactive element markup; CSS3 for all visual styling including animations (CSS keyframe transitions for typing indicators, message bubble slide-ins, decision panel slide-up, phone vibration, and feedback overlay fade-ins); JavaScript (ES2022 module syntax) for all application logic including scenario management, profile generation, scoring, and DOM manipulation; and Three.js (loaded via CDN import map) for the WebGL particle background animation that renders behind the simulation interface.</w:t>
      </w:r>
    </w:p>
    <w:p w14:paraId="4F93EE0D" w14:textId="77777777" w:rsidR="00A009D4" w:rsidRDefault="00000000">
      <w:pPr>
        <w:spacing w:after="120"/>
        <w:jc w:val="both"/>
      </w:pPr>
      <w:r>
        <w:rPr>
          <w:rFonts w:ascii="Times New Roman" w:hAnsi="Times New Roman"/>
          <w:sz w:val="24"/>
        </w:rPr>
        <w:t>All development was carried out in Visual Studio Code, which provided an efficient iterative workflow through its built-in Git integration, HTML/CSS/JavaScript syntax highlighting and IntelliSense, and live browser preview extension. No build tools, bundlers, or package managers were required at any point — the entire platform is contained within a single HTML file, keeping the development and deployment process straightforward and reproducible.</w:t>
      </w:r>
    </w:p>
    <w:p w14:paraId="79203D63" w14:textId="77777777" w:rsidR="00A009D4" w:rsidRDefault="00000000">
      <w:pPr>
        <w:spacing w:after="120"/>
        <w:jc w:val="both"/>
      </w:pPr>
      <w:r>
        <w:rPr>
          <w:rFonts w:ascii="Times New Roman" w:hAnsi="Times New Roman"/>
          <w:sz w:val="24"/>
        </w:rPr>
        <w:t>The live platform is deployed and publicly accessible at: https://ssramoss.github.io/INFOGUARD-Phishing-Simulation/. GitHub Pages serves the static HTML file directly from the repository, providing reliable global accessibility with zero infrastructure overhead. The deployment requires only a git push to the repository, making updates and revisions during the development phase straightforward to manage.</w:t>
      </w:r>
    </w:p>
    <w:p w14:paraId="64E008E8" w14:textId="77777777" w:rsidR="00A009D4" w:rsidRDefault="00000000">
      <w:pPr>
        <w:keepNext/>
        <w:spacing w:before="280" w:after="80"/>
      </w:pPr>
      <w:r>
        <w:rPr>
          <w:rFonts w:ascii="Times New Roman" w:hAnsi="Times New Roman"/>
          <w:b/>
          <w:sz w:val="24"/>
        </w:rPr>
        <w:t>5.2 Three.js Particle Background</w:t>
      </w:r>
    </w:p>
    <w:p w14:paraId="01C2958F" w14:textId="77777777" w:rsidR="00A009D4" w:rsidRDefault="00000000">
      <w:pPr>
        <w:spacing w:after="120"/>
        <w:jc w:val="both"/>
      </w:pPr>
      <w:r>
        <w:rPr>
          <w:rFonts w:ascii="Times New Roman" w:hAnsi="Times New Roman"/>
          <w:sz w:val="24"/>
        </w:rPr>
        <w:t>The visual background is rendered using Three.js via a WebGL canvas positioned behind the main UI layer using CSS z-index layering and pointer-events: none to ensure it does not interfere with user interactions. A BufferGeometry object is populated with 600 vertices distributed randomly across a 30-unit cubic space using Math.random() for each x, y, z coordinate. The PointsMaterial is configured with colour #0ea5e9 (sky blue), size 0.06, transparency enabled, opacity 0.6, and THREE.AdditiveBlending for a glowing effect against the dark background.</w:t>
      </w:r>
    </w:p>
    <w:p w14:paraId="20F04A4B" w14:textId="77777777" w:rsidR="00A009D4" w:rsidRDefault="00000000">
      <w:pPr>
        <w:spacing w:after="120"/>
        <w:jc w:val="both"/>
      </w:pPr>
      <w:r>
        <w:rPr>
          <w:rFonts w:ascii="Times New Roman" w:hAnsi="Times New Roman"/>
          <w:sz w:val="24"/>
        </w:rPr>
        <w:t>A FogExp2 fog effect (colour #050505, density 0.002) adds depth by fading distant particles into the background. The particle mesh rotates continuously on both the X axis (0.0003 radians per frame) and Y axis (0.0005 radians per frame) within a requestAnimationFrame loop, creating an immersive animated environment. A window resize listener updates the camera aspect ratio and renderer dimensions to maintain correct proportions across all screen sizes.</w:t>
      </w:r>
    </w:p>
    <w:p w14:paraId="3D5EF3B1" w14:textId="77777777" w:rsidR="00A009D4" w:rsidRDefault="00000000">
      <w:pPr>
        <w:keepNext/>
        <w:spacing w:before="280" w:after="80"/>
      </w:pPr>
      <w:r>
        <w:rPr>
          <w:rFonts w:ascii="Times New Roman" w:hAnsi="Times New Roman"/>
          <w:b/>
          <w:sz w:val="24"/>
        </w:rPr>
        <w:lastRenderedPageBreak/>
        <w:t>5.3 Smartphone Simulation Interface</w:t>
      </w:r>
    </w:p>
    <w:p w14:paraId="7EB7B2FA" w14:textId="77777777" w:rsidR="00A009D4" w:rsidRDefault="00000000">
      <w:pPr>
        <w:spacing w:after="120"/>
        <w:jc w:val="both"/>
      </w:pPr>
      <w:r>
        <w:rPr>
          <w:rFonts w:ascii="Times New Roman" w:hAnsi="Times New Roman"/>
          <w:sz w:val="24"/>
        </w:rPr>
        <w:t>The core simulation interface replicates a 375×812px smartphone frame (corresponding to iPhone dimensions) with 45px border radius, a 12px solid border, and a realistic box-shadow for depth. The notch element includes a notch-camera circle and notch-speaker bar. A home-indicator bar is positioned at the bottom of the frame. This level of physical fidelity is pedagogically deliberate: it activates the familiarity and contextual recognition mechanisms that situated learning theory (Lave &amp; Wenger, 1991) identifies as prerequisites for authentic learning.</w:t>
      </w:r>
    </w:p>
    <w:p w14:paraId="685A0D50" w14:textId="77777777" w:rsidR="00A009D4" w:rsidRDefault="00000000">
      <w:pPr>
        <w:spacing w:after="120"/>
        <w:jc w:val="both"/>
      </w:pPr>
      <w:r>
        <w:rPr>
          <w:rFonts w:ascii="Times New Roman" w:hAnsi="Times New Roman"/>
          <w:sz w:val="24"/>
        </w:rPr>
        <w:t>The decision to use a smartphone form factor rather than a desktop browser window is pedagogically motivated. Research by Vishwanath et al. (2011) established that social media phishing susceptibility is highest in mobile, casual usage contexts rather than formal desktop computing environments [9]. The physical characteristics of the simulated smartphone frame — the notch, home indicator, vibration feedback, and portrait orientation — activate the mental model users associate with casual, low-scrutiny social media browsing. This contextual priming is precisely what InfoGuard exploits to create an authentic training environment: users experience the simulation in the cognitive state closest to their real vulnerability window, making the recognition skills developed during training more likely to transfer to genuine threat encounters.</w:t>
      </w:r>
    </w:p>
    <w:p w14:paraId="61BDB6DD" w14:textId="77777777" w:rsidR="00A009D4" w:rsidRDefault="00000000">
      <w:pPr>
        <w:spacing w:after="120"/>
        <w:jc w:val="both"/>
      </w:pPr>
      <w:r>
        <w:rPr>
          <w:rFonts w:ascii="Times New Roman" w:hAnsi="Times New Roman"/>
          <w:sz w:val="24"/>
        </w:rPr>
        <w:t>Within the phone frame, the DM interface replicates Instagram's direct message layout: a header bar with back button, sender avatar, name, and active status; a scrollable chat area displaying the message bubble and timestamp; and a three-button decision panel that slides up from the bottom of the frame via CSS translateY animation. A three-dot typing indicator animates before each message appears, simulating real message composition. A CSS vibrateAnim keyframe sequence gives the phone frame a physical vibration when a new message arrives — a sensory reinforcement mechanism designed to heighten realism and emotional engagement.</w:t>
      </w:r>
    </w:p>
    <w:p w14:paraId="461D1F57" w14:textId="77777777" w:rsidR="00A009D4" w:rsidRDefault="00000000">
      <w:pPr>
        <w:spacing w:after="120"/>
        <w:jc w:val="both"/>
      </w:pPr>
      <w:r>
        <w:rPr>
          <w:rFonts w:ascii="Times New Roman" w:hAnsi="Times New Roman"/>
          <w:sz w:val="24"/>
        </w:rPr>
        <w:t>All links within the chat area are intercepted via JavaScript event delegation on the chat-area div. Clicking any link triggers a Security Block overlay with a red border, a SECURITY BLOCK header, and an educational message explaining the risk of clicking unknown DM links. This interception mechanic operationalises Damasio's (1994) emotional learning theory: the visceral experience of having a connection terminated provides a more lasting safety association than an abstract written warning.</w:t>
      </w:r>
    </w:p>
    <w:p w14:paraId="66482B63" w14:textId="77777777" w:rsidR="00A009D4" w:rsidRDefault="00000000">
      <w:pPr>
        <w:keepNext/>
        <w:spacing w:before="280" w:after="80"/>
      </w:pPr>
      <w:r>
        <w:rPr>
          <w:rFonts w:ascii="Times New Roman" w:hAnsi="Times New Roman"/>
          <w:b/>
          <w:sz w:val="24"/>
        </w:rPr>
        <w:t>5.4 Scenario Engine and Profile Generation</w:t>
      </w:r>
    </w:p>
    <w:p w14:paraId="79B56C8C" w14:textId="77777777" w:rsidR="00A009D4" w:rsidRDefault="00000000">
      <w:pPr>
        <w:spacing w:after="120"/>
        <w:jc w:val="both"/>
      </w:pPr>
      <w:r>
        <w:rPr>
          <w:rFonts w:ascii="Times New Roman" w:hAnsi="Times New Roman"/>
          <w:sz w:val="24"/>
        </w:rPr>
        <w:t xml:space="preserve">The startSimulation() function initialises each session by creating three separate arrays from the safe, suspicious, and phishing scenario pools, applying Fisher-Yates shuffling independently to each, and then slicing four safe, three suspicious, and three phishing scenarios. These ten scenarios are combined into a single array and shuffled again to produce the final session round order. A parallel array of ten unique names is drawn from </w:t>
      </w:r>
      <w:r>
        <w:rPr>
          <w:rFonts w:ascii="Times New Roman" w:hAnsi="Times New Roman"/>
          <w:sz w:val="24"/>
        </w:rPr>
        <w:lastRenderedPageBreak/>
        <w:t>the 70-name pool using the same shuffle-and-slice method, ensuring no repeated names within a session.</w:t>
      </w:r>
    </w:p>
    <w:p w14:paraId="4012332A" w14:textId="77777777" w:rsidR="00A009D4" w:rsidRDefault="00000000">
      <w:pPr>
        <w:spacing w:after="120"/>
        <w:jc w:val="both"/>
      </w:pPr>
      <w:r>
        <w:rPr>
          <w:rFonts w:ascii="Times New Roman" w:hAnsi="Times New Roman"/>
          <w:sz w:val="24"/>
        </w:rPr>
        <w:t>The generateProfile() function creates a unique sender profile for each round. For phishing scenarios, there is a 60% probability of generating a 'new account' profile: fewer than 40 followers, zero mutual connections, joined 'this week', fewer than three posts, and suspicious bio text ('FREE MONEY LINK BELOW'). For safe and suspicious scenarios, the profile receives realistic follower counts (150–950), multiple mutual connections (2–16), an established join date (1–4 years ago), and a normal bio. Profile avatar colours are generated using randomised HSL values, ensuring visual variety across sessions. These weighted characteristics allow users to practise the real investigative skill of assessing account credibility, not just message content.</w:t>
      </w:r>
    </w:p>
    <w:p w14:paraId="1541B94A" w14:textId="77777777" w:rsidR="00A009D4" w:rsidRDefault="00000000">
      <w:pPr>
        <w:spacing w:after="120"/>
        <w:jc w:val="both"/>
      </w:pPr>
      <w:r>
        <w:rPr>
          <w:rFonts w:ascii="Times New Roman" w:hAnsi="Times New Roman"/>
          <w:sz w:val="24"/>
        </w:rPr>
        <w:t>The scenario content itself was carefully constructed to represent the full spectrum of real-world social media phishing attack types documented in academic literature and NCSC threat intelligence reports [2]. Safe scenarios represent normal social conversation — greetings, event invitations, shared media references — to train users that not every DM is a threat, which is equally important as recognising genuine attacks. Suspicious scenarios present ambiguous content that a cautious user should verify before responding — messages requesting unusual profile information or sharing non-standard links. Phishing scenarios represent four distinct attack patterns: account suspension urgency attacks, prize or reward impersonation, fake mutual connection requests with embedded links, and malware distribution via file download prompts. This categorical diversity ensures that users are exposed to multiple distinct phishing social engineering techniques within a single training session.</w:t>
      </w:r>
    </w:p>
    <w:p w14:paraId="156DF5FF" w14:textId="77777777" w:rsidR="00A009D4" w:rsidRDefault="00000000">
      <w:pPr>
        <w:keepNext/>
        <w:spacing w:before="280" w:after="80"/>
      </w:pPr>
      <w:r>
        <w:rPr>
          <w:rFonts w:ascii="Times New Roman" w:hAnsi="Times New Roman"/>
          <w:b/>
          <w:sz w:val="24"/>
        </w:rPr>
        <w:t>5.5 Feedback, Scoring, and Scorecard</w:t>
      </w:r>
    </w:p>
    <w:p w14:paraId="3682EE43" w14:textId="77777777" w:rsidR="00A009D4" w:rsidRDefault="00000000">
      <w:pPr>
        <w:spacing w:after="120"/>
        <w:jc w:val="both"/>
      </w:pPr>
      <w:r>
        <w:rPr>
          <w:rFonts w:ascii="Times New Roman" w:hAnsi="Times New Roman"/>
          <w:sz w:val="24"/>
        </w:rPr>
        <w:t>The makeDecision() function is called when a user taps one of the three decision buttons (Safe, Suspicious, Phishing). It records the elapsed time since round start, compares the user's choice against the scenario's true classification, increments the score if correct, and adds an entry to the mistakes array if incorrect. The decision panel is immediately hidden and the feedback overlay appears, displaying a green 'Nice catch!' or red 'Watch out!' title, the user's choice and the correct answer, a natural language explanation of why the message belongs to that category, and — for suspicious and phishing scenarios — a bulleted list of specific red flags present in that message.</w:t>
      </w:r>
    </w:p>
    <w:p w14:paraId="57FB43C6" w14:textId="77777777" w:rsidR="00A009D4" w:rsidRDefault="00000000">
      <w:pPr>
        <w:spacing w:after="120"/>
        <w:jc w:val="both"/>
      </w:pPr>
      <w:r>
        <w:rPr>
          <w:rFonts w:ascii="Times New Roman" w:hAnsi="Times New Roman"/>
          <w:sz w:val="24"/>
        </w:rPr>
        <w:t xml:space="preserve">At session end, the showScorecard() function calculates a speed rating from the average response time: Fast (under 4 seconds average), Medium (4–7 seconds), or Slow (over 7 seconds). A performance badge is awarded based on score: Security Expert (9–10), Cautious User (6–8), At Risk (3–5), or Highly Vulnerable (0–2). A scrollable improvement panel lists every round the user misclassified, showing the round number, the correct </w:t>
      </w:r>
      <w:r>
        <w:rPr>
          <w:rFonts w:ascii="Times New Roman" w:hAnsi="Times New Roman"/>
          <w:sz w:val="24"/>
        </w:rPr>
        <w:lastRenderedPageBreak/>
        <w:t>category missed, and the message text for review. A Restart Training button re-runs startSimulation() with a fresh randomised scenario set.</w:t>
      </w:r>
    </w:p>
    <w:p w14:paraId="5D63EF0D" w14:textId="77777777" w:rsidR="00A009D4" w:rsidRDefault="00000000">
      <w:pPr>
        <w:keepNext/>
        <w:spacing w:before="280" w:after="80"/>
      </w:pPr>
      <w:r>
        <w:rPr>
          <w:rFonts w:ascii="Times New Roman" w:hAnsi="Times New Roman"/>
          <w:b/>
          <w:sz w:val="24"/>
        </w:rPr>
        <w:t>5.6 GitHub Pages Deployment</w:t>
      </w:r>
    </w:p>
    <w:p w14:paraId="5DD6A3AE" w14:textId="77777777" w:rsidR="00A009D4" w:rsidRDefault="00000000">
      <w:pPr>
        <w:spacing w:after="120"/>
        <w:jc w:val="both"/>
      </w:pPr>
      <w:r>
        <w:rPr>
          <w:rFonts w:ascii="Times New Roman" w:hAnsi="Times New Roman"/>
          <w:sz w:val="24"/>
        </w:rPr>
        <w:t>The final production build of InfoGuard is deployed through GitHub Pages. The repository contains a single index.html file which is the complete platform. GitHub Pages automatically serves this file over HTTPS on the custom repository URL: https://ssramoss.github.io/INFOGUARD-Phishing-Simulation/. No configuration files, build scripts, or server setup are required. Deployment of any update requires only committing the revised HTML file and pushing to the main branch.</w:t>
      </w:r>
    </w:p>
    <w:p w14:paraId="0E5241E0" w14:textId="77777777" w:rsidR="00A009D4" w:rsidRDefault="00000000">
      <w:pPr>
        <w:spacing w:after="120"/>
        <w:jc w:val="both"/>
      </w:pPr>
      <w:r>
        <w:rPr>
          <w:rFonts w:ascii="Times New Roman" w:hAnsi="Times New Roman"/>
          <w:sz w:val="24"/>
        </w:rPr>
        <w:t>This deployment model has several advantages for an educational tool. It is permanently accessible at a stable URL without requiring server uptime management or hosting costs. The HTTPS delivery ensures secure transport of the page content. The source code is openly inspectable in the GitHub repository, supporting the transparency principle that underpins InfoGuard's ethical design. During the evaluation period, all six participant testing sessions used this live URL, confirming consistent accessibility across different devices and university network conditions.</w:t>
      </w:r>
    </w:p>
    <w:p w14:paraId="04B5E4ED" w14:textId="77777777" w:rsidR="00A009D4" w:rsidRDefault="00000000">
      <w:r>
        <w:br w:type="page"/>
      </w:r>
    </w:p>
    <w:p w14:paraId="511C1490" w14:textId="77777777" w:rsidR="00A009D4" w:rsidRDefault="00000000">
      <w:pPr>
        <w:spacing w:before="360" w:after="160"/>
        <w:jc w:val="center"/>
      </w:pPr>
      <w:r>
        <w:rPr>
          <w:rFonts w:ascii="Times New Roman" w:hAnsi="Times New Roman"/>
          <w:b/>
          <w:sz w:val="28"/>
        </w:rPr>
        <w:lastRenderedPageBreak/>
        <w:t>Chapter 6: Testing and Evaluation</w:t>
      </w:r>
    </w:p>
    <w:p w14:paraId="3D4DC88E" w14:textId="77777777" w:rsidR="00A009D4" w:rsidRDefault="00000000">
      <w:pPr>
        <w:keepNext/>
        <w:spacing w:before="280" w:after="80"/>
      </w:pPr>
      <w:r>
        <w:rPr>
          <w:rFonts w:ascii="Times New Roman" w:hAnsi="Times New Roman"/>
          <w:b/>
          <w:sz w:val="24"/>
        </w:rPr>
        <w:t>6.1 Functional Testing</w:t>
      </w:r>
    </w:p>
    <w:p w14:paraId="6C13CD2B" w14:textId="77777777" w:rsidR="00A009D4" w:rsidRDefault="00000000">
      <w:pPr>
        <w:spacing w:after="120"/>
        <w:jc w:val="both"/>
      </w:pPr>
      <w:r>
        <w:rPr>
          <w:rFonts w:ascii="Times New Roman" w:hAnsi="Times New Roman"/>
          <w:sz w:val="24"/>
        </w:rPr>
        <w:t>Functional testing was carried out manually throughout the development phase using the browser developer tools in Google Chrome. Each core function was tested in isolation before integration testing confirmed end-to-end session flow. The following functions were verified: startSimulation() — correct initialisation of round counter, score, mistakes array, and scenario queue; playNextRound() — correct scenario selection, profile display, typing indicator timing, message bubble rendering, and decision panel animation; makeDecision() — correct score incrementing for right answers, mistake logging for wrong answers, and accurate feedback content generation; openProfile() — correct display of weighted profile statistics per scenario type; link interception — Security Block overlay triggering on all in-game href clicks; and showScorecard() — correct badge assignment, speed rating calculation, and improvement panel population.</w:t>
      </w:r>
    </w:p>
    <w:p w14:paraId="4EB2E5CD" w14:textId="77777777" w:rsidR="00A009D4" w:rsidRDefault="00000000">
      <w:pPr>
        <w:spacing w:after="120"/>
        <w:jc w:val="both"/>
      </w:pPr>
      <w:r>
        <w:rPr>
          <w:rFonts w:ascii="Times New Roman" w:hAnsi="Times New Roman"/>
          <w:sz w:val="24"/>
        </w:rPr>
        <w:t>The Fisher-Yates shuffle was tested across fifty simulated sessions by logging the scenario order to the browser console, confirming that the distribution of safe, suspicious, and phishing scenarios was consistent (4/3/3 per session) and that the scenario sequence varied sufficiently across sessions to support replay-based spaced repetition practice. Profile generation was tested across twenty rounds of each scenario type, confirming that phishing profiles received the weighted low-follower, zero-mutual, recent-join characteristics at the expected 60% probability rate.</w:t>
      </w:r>
    </w:p>
    <w:p w14:paraId="4026DAFD" w14:textId="77777777" w:rsidR="00A009D4" w:rsidRDefault="00000000">
      <w:pPr>
        <w:spacing w:after="120"/>
        <w:jc w:val="both"/>
      </w:pPr>
      <w:r>
        <w:rPr>
          <w:rFonts w:ascii="Times New Roman" w:hAnsi="Times New Roman"/>
          <w:sz w:val="24"/>
        </w:rPr>
        <w:t>Edge case testing identified one minor issue during development: when a user tapped the decision panel button very rapidly before the feedback overlay animation completed, it was theoretically possible to trigger a double-decision event on a single round. This was resolved by adding a boolean `isDeciding` guard flag that is set to true when makeDecision() is called and reset to false only when the nextRoundAction() function fires, preventing any input being registered during the feedback overlay display period. This fix was implemented and verified across all four test browsers. No additional edge cases were identified during testing that would affect the educational integrity of a gameplay session.</w:t>
      </w:r>
    </w:p>
    <w:tbl>
      <w:tblPr>
        <w:tblStyle w:val="TableGrid"/>
        <w:tblW w:w="0" w:type="auto"/>
        <w:tblLook w:val="04A0" w:firstRow="1" w:lastRow="0" w:firstColumn="1" w:lastColumn="0" w:noHBand="0" w:noVBand="1"/>
      </w:tblPr>
      <w:tblGrid>
        <w:gridCol w:w="2880"/>
        <w:gridCol w:w="3600"/>
        <w:gridCol w:w="1152"/>
      </w:tblGrid>
      <w:tr w:rsidR="00A009D4" w14:paraId="5918CB9D" w14:textId="77777777">
        <w:tc>
          <w:tcPr>
            <w:tcW w:w="2880" w:type="dxa"/>
          </w:tcPr>
          <w:p w14:paraId="2DABFCDE" w14:textId="77777777" w:rsidR="00A009D4" w:rsidRDefault="00000000">
            <w:pPr>
              <w:jc w:val="center"/>
            </w:pPr>
            <w:r>
              <w:rPr>
                <w:rFonts w:ascii="Times New Roman" w:hAnsi="Times New Roman"/>
                <w:b/>
                <w:sz w:val="20"/>
              </w:rPr>
              <w:t>Test Case</w:t>
            </w:r>
          </w:p>
        </w:tc>
        <w:tc>
          <w:tcPr>
            <w:tcW w:w="3600" w:type="dxa"/>
          </w:tcPr>
          <w:p w14:paraId="3A10AC23" w14:textId="77777777" w:rsidR="00A009D4" w:rsidRDefault="00000000">
            <w:pPr>
              <w:jc w:val="center"/>
            </w:pPr>
            <w:r>
              <w:rPr>
                <w:rFonts w:ascii="Times New Roman" w:hAnsi="Times New Roman"/>
                <w:b/>
                <w:sz w:val="20"/>
              </w:rPr>
              <w:t>Expected Behaviour</w:t>
            </w:r>
          </w:p>
        </w:tc>
        <w:tc>
          <w:tcPr>
            <w:tcW w:w="1152" w:type="dxa"/>
          </w:tcPr>
          <w:p w14:paraId="2CA88C3D" w14:textId="77777777" w:rsidR="00A009D4" w:rsidRDefault="00000000">
            <w:pPr>
              <w:jc w:val="center"/>
            </w:pPr>
            <w:r>
              <w:rPr>
                <w:rFonts w:ascii="Times New Roman" w:hAnsi="Times New Roman"/>
                <w:b/>
                <w:sz w:val="20"/>
              </w:rPr>
              <w:t>Result</w:t>
            </w:r>
          </w:p>
        </w:tc>
      </w:tr>
      <w:tr w:rsidR="00A009D4" w14:paraId="24B2C1DA" w14:textId="77777777">
        <w:tc>
          <w:tcPr>
            <w:tcW w:w="2880" w:type="dxa"/>
          </w:tcPr>
          <w:p w14:paraId="27481C81" w14:textId="77777777" w:rsidR="00A009D4" w:rsidRDefault="00000000">
            <w:r>
              <w:rPr>
                <w:rFonts w:ascii="Times New Roman" w:hAnsi="Times New Roman"/>
                <w:sz w:val="20"/>
              </w:rPr>
              <w:t>Start simulation</w:t>
            </w:r>
          </w:p>
        </w:tc>
        <w:tc>
          <w:tcPr>
            <w:tcW w:w="3600" w:type="dxa"/>
          </w:tcPr>
          <w:p w14:paraId="147A4BDF" w14:textId="77777777" w:rsidR="00A009D4" w:rsidRDefault="00000000">
            <w:r>
              <w:rPr>
                <w:rFonts w:ascii="Times New Roman" w:hAnsi="Times New Roman"/>
                <w:sz w:val="20"/>
              </w:rPr>
              <w:t>10 rounds queued, counters reset</w:t>
            </w:r>
          </w:p>
        </w:tc>
        <w:tc>
          <w:tcPr>
            <w:tcW w:w="1152" w:type="dxa"/>
          </w:tcPr>
          <w:p w14:paraId="32BD56AC" w14:textId="77777777" w:rsidR="00A009D4" w:rsidRDefault="00000000">
            <w:r>
              <w:rPr>
                <w:rFonts w:ascii="Times New Roman" w:hAnsi="Times New Roman"/>
                <w:sz w:val="20"/>
              </w:rPr>
              <w:t>Pass</w:t>
            </w:r>
          </w:p>
        </w:tc>
      </w:tr>
      <w:tr w:rsidR="00A009D4" w14:paraId="72F2651D" w14:textId="77777777">
        <w:tc>
          <w:tcPr>
            <w:tcW w:w="2880" w:type="dxa"/>
          </w:tcPr>
          <w:p w14:paraId="78C398F7" w14:textId="77777777" w:rsidR="00A009D4" w:rsidRDefault="00000000">
            <w:r>
              <w:rPr>
                <w:rFonts w:ascii="Times New Roman" w:hAnsi="Times New Roman"/>
                <w:sz w:val="20"/>
              </w:rPr>
              <w:t>Safe message classification</w:t>
            </w:r>
          </w:p>
        </w:tc>
        <w:tc>
          <w:tcPr>
            <w:tcW w:w="3600" w:type="dxa"/>
          </w:tcPr>
          <w:p w14:paraId="02D03498" w14:textId="77777777" w:rsidR="00A009D4" w:rsidRDefault="00000000">
            <w:r>
              <w:rPr>
                <w:rFonts w:ascii="Times New Roman" w:hAnsi="Times New Roman"/>
                <w:sz w:val="20"/>
              </w:rPr>
              <w:t>Score +1, green feedback overlay</w:t>
            </w:r>
          </w:p>
        </w:tc>
        <w:tc>
          <w:tcPr>
            <w:tcW w:w="1152" w:type="dxa"/>
          </w:tcPr>
          <w:p w14:paraId="087E5E40" w14:textId="77777777" w:rsidR="00A009D4" w:rsidRDefault="00000000">
            <w:r>
              <w:rPr>
                <w:rFonts w:ascii="Times New Roman" w:hAnsi="Times New Roman"/>
                <w:sz w:val="20"/>
              </w:rPr>
              <w:t>Pass</w:t>
            </w:r>
          </w:p>
        </w:tc>
      </w:tr>
      <w:tr w:rsidR="00A009D4" w14:paraId="3BC7D6A7" w14:textId="77777777">
        <w:tc>
          <w:tcPr>
            <w:tcW w:w="2880" w:type="dxa"/>
          </w:tcPr>
          <w:p w14:paraId="581DEC48" w14:textId="77777777" w:rsidR="00A009D4" w:rsidRDefault="00000000">
            <w:r>
              <w:rPr>
                <w:rFonts w:ascii="Times New Roman" w:hAnsi="Times New Roman"/>
                <w:sz w:val="20"/>
              </w:rPr>
              <w:t>Phishing misclassification</w:t>
            </w:r>
          </w:p>
        </w:tc>
        <w:tc>
          <w:tcPr>
            <w:tcW w:w="3600" w:type="dxa"/>
          </w:tcPr>
          <w:p w14:paraId="0EFE604C" w14:textId="77777777" w:rsidR="00A009D4" w:rsidRDefault="00000000">
            <w:r>
              <w:rPr>
                <w:rFonts w:ascii="Times New Roman" w:hAnsi="Times New Roman"/>
                <w:sz w:val="20"/>
              </w:rPr>
              <w:t>Mistake logged, red feedback with red flags</w:t>
            </w:r>
          </w:p>
        </w:tc>
        <w:tc>
          <w:tcPr>
            <w:tcW w:w="1152" w:type="dxa"/>
          </w:tcPr>
          <w:p w14:paraId="4FC10ACA" w14:textId="77777777" w:rsidR="00A009D4" w:rsidRDefault="00000000">
            <w:r>
              <w:rPr>
                <w:rFonts w:ascii="Times New Roman" w:hAnsi="Times New Roman"/>
                <w:sz w:val="20"/>
              </w:rPr>
              <w:t>Pass</w:t>
            </w:r>
          </w:p>
        </w:tc>
      </w:tr>
      <w:tr w:rsidR="00A009D4" w14:paraId="507A78A3" w14:textId="77777777">
        <w:tc>
          <w:tcPr>
            <w:tcW w:w="2880" w:type="dxa"/>
          </w:tcPr>
          <w:p w14:paraId="7C829463" w14:textId="77777777" w:rsidR="00A009D4" w:rsidRDefault="00000000">
            <w:r>
              <w:rPr>
                <w:rFonts w:ascii="Times New Roman" w:hAnsi="Times New Roman"/>
                <w:sz w:val="20"/>
              </w:rPr>
              <w:t>Link click in chat</w:t>
            </w:r>
          </w:p>
        </w:tc>
        <w:tc>
          <w:tcPr>
            <w:tcW w:w="3600" w:type="dxa"/>
          </w:tcPr>
          <w:p w14:paraId="3883A45C" w14:textId="77777777" w:rsidR="00A009D4" w:rsidRDefault="00000000">
            <w:r>
              <w:rPr>
                <w:rFonts w:ascii="Times New Roman" w:hAnsi="Times New Roman"/>
                <w:sz w:val="20"/>
              </w:rPr>
              <w:t>Security Block overlay appears</w:t>
            </w:r>
          </w:p>
        </w:tc>
        <w:tc>
          <w:tcPr>
            <w:tcW w:w="1152" w:type="dxa"/>
          </w:tcPr>
          <w:p w14:paraId="2D4523C8" w14:textId="77777777" w:rsidR="00A009D4" w:rsidRDefault="00000000">
            <w:r>
              <w:rPr>
                <w:rFonts w:ascii="Times New Roman" w:hAnsi="Times New Roman"/>
                <w:sz w:val="20"/>
              </w:rPr>
              <w:t>Pass</w:t>
            </w:r>
          </w:p>
        </w:tc>
      </w:tr>
      <w:tr w:rsidR="00A009D4" w14:paraId="25B35E5C" w14:textId="77777777">
        <w:tc>
          <w:tcPr>
            <w:tcW w:w="2880" w:type="dxa"/>
          </w:tcPr>
          <w:p w14:paraId="0572DBE9" w14:textId="77777777" w:rsidR="00A009D4" w:rsidRDefault="00000000">
            <w:r>
              <w:rPr>
                <w:rFonts w:ascii="Times New Roman" w:hAnsi="Times New Roman"/>
                <w:sz w:val="20"/>
              </w:rPr>
              <w:t>Profile inspect — phishing</w:t>
            </w:r>
          </w:p>
        </w:tc>
        <w:tc>
          <w:tcPr>
            <w:tcW w:w="3600" w:type="dxa"/>
          </w:tcPr>
          <w:p w14:paraId="226B3331" w14:textId="77777777" w:rsidR="00A009D4" w:rsidRDefault="00000000">
            <w:r>
              <w:rPr>
                <w:rFonts w:ascii="Times New Roman" w:hAnsi="Times New Roman"/>
                <w:sz w:val="20"/>
              </w:rPr>
              <w:t>Low followers, zero mutuals, recent join</w:t>
            </w:r>
          </w:p>
        </w:tc>
        <w:tc>
          <w:tcPr>
            <w:tcW w:w="1152" w:type="dxa"/>
          </w:tcPr>
          <w:p w14:paraId="0597A576" w14:textId="77777777" w:rsidR="00A009D4" w:rsidRDefault="00000000">
            <w:r>
              <w:rPr>
                <w:rFonts w:ascii="Times New Roman" w:hAnsi="Times New Roman"/>
                <w:sz w:val="20"/>
              </w:rPr>
              <w:t>Pass</w:t>
            </w:r>
          </w:p>
        </w:tc>
      </w:tr>
      <w:tr w:rsidR="00A009D4" w14:paraId="339F6CC9" w14:textId="77777777">
        <w:tc>
          <w:tcPr>
            <w:tcW w:w="2880" w:type="dxa"/>
          </w:tcPr>
          <w:p w14:paraId="6D37B5A1" w14:textId="77777777" w:rsidR="00A009D4" w:rsidRDefault="00000000">
            <w:r>
              <w:rPr>
                <w:rFonts w:ascii="Times New Roman" w:hAnsi="Times New Roman"/>
                <w:sz w:val="20"/>
              </w:rPr>
              <w:t>Profile inspect — safe</w:t>
            </w:r>
          </w:p>
        </w:tc>
        <w:tc>
          <w:tcPr>
            <w:tcW w:w="3600" w:type="dxa"/>
          </w:tcPr>
          <w:p w14:paraId="0D3FC2E6" w14:textId="77777777" w:rsidR="00A009D4" w:rsidRDefault="00000000">
            <w:r>
              <w:rPr>
                <w:rFonts w:ascii="Times New Roman" w:hAnsi="Times New Roman"/>
                <w:sz w:val="20"/>
              </w:rPr>
              <w:t>Realistic follower count, mutuals, established date</w:t>
            </w:r>
          </w:p>
        </w:tc>
        <w:tc>
          <w:tcPr>
            <w:tcW w:w="1152" w:type="dxa"/>
          </w:tcPr>
          <w:p w14:paraId="6224AA20" w14:textId="77777777" w:rsidR="00A009D4" w:rsidRDefault="00000000">
            <w:r>
              <w:rPr>
                <w:rFonts w:ascii="Times New Roman" w:hAnsi="Times New Roman"/>
                <w:sz w:val="20"/>
              </w:rPr>
              <w:t>Pass</w:t>
            </w:r>
          </w:p>
        </w:tc>
      </w:tr>
      <w:tr w:rsidR="00A009D4" w14:paraId="1114630D" w14:textId="77777777">
        <w:tc>
          <w:tcPr>
            <w:tcW w:w="2880" w:type="dxa"/>
          </w:tcPr>
          <w:p w14:paraId="061D28B9" w14:textId="77777777" w:rsidR="00A009D4" w:rsidRDefault="00000000">
            <w:r>
              <w:rPr>
                <w:rFonts w:ascii="Times New Roman" w:hAnsi="Times New Roman"/>
                <w:sz w:val="20"/>
              </w:rPr>
              <w:t>Scorecard — perfect score</w:t>
            </w:r>
          </w:p>
        </w:tc>
        <w:tc>
          <w:tcPr>
            <w:tcW w:w="3600" w:type="dxa"/>
          </w:tcPr>
          <w:p w14:paraId="27B0028C" w14:textId="77777777" w:rsidR="00A009D4" w:rsidRDefault="00000000">
            <w:r>
              <w:rPr>
                <w:rFonts w:ascii="Times New Roman" w:hAnsi="Times New Roman"/>
                <w:sz w:val="20"/>
              </w:rPr>
              <w:t>Security Expert badge, no mistakes panel</w:t>
            </w:r>
          </w:p>
        </w:tc>
        <w:tc>
          <w:tcPr>
            <w:tcW w:w="1152" w:type="dxa"/>
          </w:tcPr>
          <w:p w14:paraId="265E7753" w14:textId="77777777" w:rsidR="00A009D4" w:rsidRDefault="00000000">
            <w:r>
              <w:rPr>
                <w:rFonts w:ascii="Times New Roman" w:hAnsi="Times New Roman"/>
                <w:sz w:val="20"/>
              </w:rPr>
              <w:t>Pass</w:t>
            </w:r>
          </w:p>
        </w:tc>
      </w:tr>
      <w:tr w:rsidR="00A009D4" w14:paraId="07B9F9FD" w14:textId="77777777">
        <w:tc>
          <w:tcPr>
            <w:tcW w:w="2880" w:type="dxa"/>
          </w:tcPr>
          <w:p w14:paraId="5628B087" w14:textId="77777777" w:rsidR="00A009D4" w:rsidRDefault="00000000">
            <w:r>
              <w:rPr>
                <w:rFonts w:ascii="Times New Roman" w:hAnsi="Times New Roman"/>
                <w:sz w:val="20"/>
              </w:rPr>
              <w:t>Scorecard — 3 mistakes</w:t>
            </w:r>
          </w:p>
        </w:tc>
        <w:tc>
          <w:tcPr>
            <w:tcW w:w="3600" w:type="dxa"/>
          </w:tcPr>
          <w:p w14:paraId="72091DD5" w14:textId="77777777" w:rsidR="00A009D4" w:rsidRDefault="00000000">
            <w:r>
              <w:rPr>
                <w:rFonts w:ascii="Times New Roman" w:hAnsi="Times New Roman"/>
                <w:sz w:val="20"/>
              </w:rPr>
              <w:t>At Risk badge, 3 improvement entries</w:t>
            </w:r>
          </w:p>
        </w:tc>
        <w:tc>
          <w:tcPr>
            <w:tcW w:w="1152" w:type="dxa"/>
          </w:tcPr>
          <w:p w14:paraId="62CA58B5" w14:textId="77777777" w:rsidR="00A009D4" w:rsidRDefault="00000000">
            <w:r>
              <w:rPr>
                <w:rFonts w:ascii="Times New Roman" w:hAnsi="Times New Roman"/>
                <w:sz w:val="20"/>
              </w:rPr>
              <w:t>Pass</w:t>
            </w:r>
          </w:p>
        </w:tc>
      </w:tr>
      <w:tr w:rsidR="00A009D4" w14:paraId="64B4ED1E" w14:textId="77777777">
        <w:tc>
          <w:tcPr>
            <w:tcW w:w="2880" w:type="dxa"/>
          </w:tcPr>
          <w:p w14:paraId="04B81769" w14:textId="77777777" w:rsidR="00A009D4" w:rsidRDefault="00000000">
            <w:r>
              <w:rPr>
                <w:rFonts w:ascii="Times New Roman" w:hAnsi="Times New Roman"/>
                <w:sz w:val="20"/>
              </w:rPr>
              <w:t>Restart training</w:t>
            </w:r>
          </w:p>
        </w:tc>
        <w:tc>
          <w:tcPr>
            <w:tcW w:w="3600" w:type="dxa"/>
          </w:tcPr>
          <w:p w14:paraId="2566C8F9" w14:textId="77777777" w:rsidR="00A009D4" w:rsidRDefault="00000000">
            <w:r>
              <w:rPr>
                <w:rFonts w:ascii="Times New Roman" w:hAnsi="Times New Roman"/>
                <w:sz w:val="20"/>
              </w:rPr>
              <w:t>Full session reinitialised with new shuffle</w:t>
            </w:r>
          </w:p>
        </w:tc>
        <w:tc>
          <w:tcPr>
            <w:tcW w:w="1152" w:type="dxa"/>
          </w:tcPr>
          <w:p w14:paraId="7338CA47" w14:textId="77777777" w:rsidR="00A009D4" w:rsidRDefault="00000000">
            <w:r>
              <w:rPr>
                <w:rFonts w:ascii="Times New Roman" w:hAnsi="Times New Roman"/>
                <w:sz w:val="20"/>
              </w:rPr>
              <w:t>Pass</w:t>
            </w:r>
          </w:p>
        </w:tc>
      </w:tr>
    </w:tbl>
    <w:p w14:paraId="0BF98453" w14:textId="77777777" w:rsidR="00A009D4" w:rsidRDefault="00A009D4"/>
    <w:p w14:paraId="7E561141" w14:textId="77777777" w:rsidR="00A009D4" w:rsidRDefault="00000000">
      <w:pPr>
        <w:keepNext/>
        <w:spacing w:before="280" w:after="80"/>
      </w:pPr>
      <w:r>
        <w:rPr>
          <w:rFonts w:ascii="Times New Roman" w:hAnsi="Times New Roman"/>
          <w:b/>
          <w:sz w:val="24"/>
        </w:rPr>
        <w:lastRenderedPageBreak/>
        <w:t>6.2 Cross-Browser Compatibility Testing</w:t>
      </w:r>
    </w:p>
    <w:p w14:paraId="46E0F827" w14:textId="77777777" w:rsidR="00A009D4" w:rsidRDefault="00000000">
      <w:pPr>
        <w:spacing w:after="120"/>
        <w:jc w:val="both"/>
      </w:pPr>
      <w:r>
        <w:rPr>
          <w:rFonts w:ascii="Times New Roman" w:hAnsi="Times New Roman"/>
          <w:sz w:val="24"/>
        </w:rPr>
        <w:t>The platform was tested across four major browsers to confirm consistent rendering and functionality. Testing confirmed that the Three.js WebGL particle background, CSS keyframe animations, smartphone frame styling, and all JavaScript functions performed correctly across Chrome (latest), Firefox (latest), Microsoft Edge (latest), and Safari (latest on macOS). Minor CSS rendering differences in border-radius handling were observed in Firefox but did not affect usability or functionality. The platform renders correctly at desktop screen resolutions (1366×768 and above) — mobile screen rendering scales the phone frame correctly but desktop use was recommended for participant testing sessions to ensure full interface visibility.</w:t>
      </w:r>
    </w:p>
    <w:tbl>
      <w:tblPr>
        <w:tblStyle w:val="TableGrid"/>
        <w:tblW w:w="0" w:type="auto"/>
        <w:tblLook w:val="04A0" w:firstRow="1" w:lastRow="0" w:firstColumn="1" w:lastColumn="0" w:noHBand="0" w:noVBand="1"/>
      </w:tblPr>
      <w:tblGrid>
        <w:gridCol w:w="1692"/>
        <w:gridCol w:w="1138"/>
        <w:gridCol w:w="1551"/>
        <w:gridCol w:w="1565"/>
        <w:gridCol w:w="1552"/>
        <w:gridCol w:w="1132"/>
      </w:tblGrid>
      <w:tr w:rsidR="00A009D4" w14:paraId="11EA85FC" w14:textId="77777777">
        <w:tc>
          <w:tcPr>
            <w:tcW w:w="1728" w:type="dxa"/>
          </w:tcPr>
          <w:p w14:paraId="3F9CCEA7" w14:textId="77777777" w:rsidR="00A009D4" w:rsidRDefault="00000000">
            <w:pPr>
              <w:jc w:val="center"/>
            </w:pPr>
            <w:r>
              <w:rPr>
                <w:rFonts w:ascii="Times New Roman" w:hAnsi="Times New Roman"/>
                <w:b/>
                <w:sz w:val="20"/>
              </w:rPr>
              <w:t>Browser</w:t>
            </w:r>
          </w:p>
        </w:tc>
        <w:tc>
          <w:tcPr>
            <w:tcW w:w="1152" w:type="dxa"/>
          </w:tcPr>
          <w:p w14:paraId="7DB0B860" w14:textId="77777777" w:rsidR="00A009D4" w:rsidRDefault="00000000">
            <w:pPr>
              <w:jc w:val="center"/>
            </w:pPr>
            <w:r>
              <w:rPr>
                <w:rFonts w:ascii="Times New Roman" w:hAnsi="Times New Roman"/>
                <w:b/>
                <w:sz w:val="20"/>
              </w:rPr>
              <w:t>Version</w:t>
            </w:r>
          </w:p>
        </w:tc>
        <w:tc>
          <w:tcPr>
            <w:tcW w:w="1584" w:type="dxa"/>
          </w:tcPr>
          <w:p w14:paraId="7F9E47A9" w14:textId="77777777" w:rsidR="00A009D4" w:rsidRDefault="00000000">
            <w:pPr>
              <w:jc w:val="center"/>
            </w:pPr>
            <w:r>
              <w:rPr>
                <w:rFonts w:ascii="Times New Roman" w:hAnsi="Times New Roman"/>
                <w:b/>
                <w:sz w:val="20"/>
              </w:rPr>
              <w:t>Three.js WebGL</w:t>
            </w:r>
          </w:p>
        </w:tc>
        <w:tc>
          <w:tcPr>
            <w:tcW w:w="1584" w:type="dxa"/>
          </w:tcPr>
          <w:p w14:paraId="76302A48" w14:textId="77777777" w:rsidR="00A009D4" w:rsidRDefault="00000000">
            <w:pPr>
              <w:jc w:val="center"/>
            </w:pPr>
            <w:r>
              <w:rPr>
                <w:rFonts w:ascii="Times New Roman" w:hAnsi="Times New Roman"/>
                <w:b/>
                <w:sz w:val="20"/>
              </w:rPr>
              <w:t>CSS Animations</w:t>
            </w:r>
          </w:p>
        </w:tc>
        <w:tc>
          <w:tcPr>
            <w:tcW w:w="1584" w:type="dxa"/>
          </w:tcPr>
          <w:p w14:paraId="30D31128" w14:textId="77777777" w:rsidR="00A009D4" w:rsidRDefault="00000000">
            <w:pPr>
              <w:jc w:val="center"/>
            </w:pPr>
            <w:r>
              <w:rPr>
                <w:rFonts w:ascii="Times New Roman" w:hAnsi="Times New Roman"/>
                <w:b/>
                <w:sz w:val="20"/>
              </w:rPr>
              <w:t>Decision Panel</w:t>
            </w:r>
          </w:p>
        </w:tc>
        <w:tc>
          <w:tcPr>
            <w:tcW w:w="1152" w:type="dxa"/>
          </w:tcPr>
          <w:p w14:paraId="2C45EEE5" w14:textId="77777777" w:rsidR="00A009D4" w:rsidRDefault="00000000">
            <w:pPr>
              <w:jc w:val="center"/>
            </w:pPr>
            <w:r>
              <w:rPr>
                <w:rFonts w:ascii="Times New Roman" w:hAnsi="Times New Roman"/>
                <w:b/>
                <w:sz w:val="20"/>
              </w:rPr>
              <w:t>Result</w:t>
            </w:r>
          </w:p>
        </w:tc>
      </w:tr>
      <w:tr w:rsidR="00A009D4" w14:paraId="1E58BBEB" w14:textId="77777777">
        <w:tc>
          <w:tcPr>
            <w:tcW w:w="1728" w:type="dxa"/>
          </w:tcPr>
          <w:p w14:paraId="6D22D043" w14:textId="77777777" w:rsidR="00A009D4" w:rsidRDefault="00000000">
            <w:r>
              <w:rPr>
                <w:rFonts w:ascii="Times New Roman" w:hAnsi="Times New Roman"/>
                <w:sz w:val="20"/>
              </w:rPr>
              <w:t>Chrome</w:t>
            </w:r>
          </w:p>
        </w:tc>
        <w:tc>
          <w:tcPr>
            <w:tcW w:w="1152" w:type="dxa"/>
          </w:tcPr>
          <w:p w14:paraId="6B9C91A0" w14:textId="77777777" w:rsidR="00A009D4" w:rsidRDefault="00000000">
            <w:r>
              <w:rPr>
                <w:rFonts w:ascii="Times New Roman" w:hAnsi="Times New Roman"/>
                <w:sz w:val="20"/>
              </w:rPr>
              <w:t>Latest</w:t>
            </w:r>
          </w:p>
        </w:tc>
        <w:tc>
          <w:tcPr>
            <w:tcW w:w="1584" w:type="dxa"/>
          </w:tcPr>
          <w:p w14:paraId="708B878E" w14:textId="77777777" w:rsidR="00A009D4" w:rsidRDefault="00000000">
            <w:r>
              <w:rPr>
                <w:rFonts w:ascii="Times New Roman" w:hAnsi="Times New Roman"/>
                <w:sz w:val="20"/>
              </w:rPr>
              <w:t>Pass</w:t>
            </w:r>
          </w:p>
        </w:tc>
        <w:tc>
          <w:tcPr>
            <w:tcW w:w="1584" w:type="dxa"/>
          </w:tcPr>
          <w:p w14:paraId="33DC4A19" w14:textId="77777777" w:rsidR="00A009D4" w:rsidRDefault="00000000">
            <w:r>
              <w:rPr>
                <w:rFonts w:ascii="Times New Roman" w:hAnsi="Times New Roman"/>
                <w:sz w:val="20"/>
              </w:rPr>
              <w:t>Pass</w:t>
            </w:r>
          </w:p>
        </w:tc>
        <w:tc>
          <w:tcPr>
            <w:tcW w:w="1584" w:type="dxa"/>
          </w:tcPr>
          <w:p w14:paraId="25137022" w14:textId="77777777" w:rsidR="00A009D4" w:rsidRDefault="00000000">
            <w:r>
              <w:rPr>
                <w:rFonts w:ascii="Times New Roman" w:hAnsi="Times New Roman"/>
                <w:sz w:val="20"/>
              </w:rPr>
              <w:t>Pass</w:t>
            </w:r>
          </w:p>
        </w:tc>
        <w:tc>
          <w:tcPr>
            <w:tcW w:w="1152" w:type="dxa"/>
          </w:tcPr>
          <w:p w14:paraId="75C19407" w14:textId="77777777" w:rsidR="00A009D4" w:rsidRDefault="00000000">
            <w:r>
              <w:rPr>
                <w:rFonts w:ascii="Times New Roman" w:hAnsi="Times New Roman"/>
                <w:sz w:val="20"/>
              </w:rPr>
              <w:t>Pass</w:t>
            </w:r>
          </w:p>
        </w:tc>
      </w:tr>
      <w:tr w:rsidR="00A009D4" w14:paraId="317F85E2" w14:textId="77777777">
        <w:tc>
          <w:tcPr>
            <w:tcW w:w="1728" w:type="dxa"/>
          </w:tcPr>
          <w:p w14:paraId="4D2DE516" w14:textId="77777777" w:rsidR="00A009D4" w:rsidRDefault="00000000">
            <w:r>
              <w:rPr>
                <w:rFonts w:ascii="Times New Roman" w:hAnsi="Times New Roman"/>
                <w:sz w:val="20"/>
              </w:rPr>
              <w:t>Firefox</w:t>
            </w:r>
          </w:p>
        </w:tc>
        <w:tc>
          <w:tcPr>
            <w:tcW w:w="1152" w:type="dxa"/>
          </w:tcPr>
          <w:p w14:paraId="74BA581A" w14:textId="77777777" w:rsidR="00A009D4" w:rsidRDefault="00000000">
            <w:r>
              <w:rPr>
                <w:rFonts w:ascii="Times New Roman" w:hAnsi="Times New Roman"/>
                <w:sz w:val="20"/>
              </w:rPr>
              <w:t>Latest</w:t>
            </w:r>
          </w:p>
        </w:tc>
        <w:tc>
          <w:tcPr>
            <w:tcW w:w="1584" w:type="dxa"/>
          </w:tcPr>
          <w:p w14:paraId="2BD2D8DB" w14:textId="77777777" w:rsidR="00A009D4" w:rsidRDefault="00000000">
            <w:r>
              <w:rPr>
                <w:rFonts w:ascii="Times New Roman" w:hAnsi="Times New Roman"/>
                <w:sz w:val="20"/>
              </w:rPr>
              <w:t>Pass</w:t>
            </w:r>
          </w:p>
        </w:tc>
        <w:tc>
          <w:tcPr>
            <w:tcW w:w="1584" w:type="dxa"/>
          </w:tcPr>
          <w:p w14:paraId="52D60354" w14:textId="77777777" w:rsidR="00A009D4" w:rsidRDefault="00000000">
            <w:r>
              <w:rPr>
                <w:rFonts w:ascii="Times New Roman" w:hAnsi="Times New Roman"/>
                <w:sz w:val="20"/>
              </w:rPr>
              <w:t>Pass</w:t>
            </w:r>
          </w:p>
        </w:tc>
        <w:tc>
          <w:tcPr>
            <w:tcW w:w="1584" w:type="dxa"/>
          </w:tcPr>
          <w:p w14:paraId="774A8913" w14:textId="77777777" w:rsidR="00A009D4" w:rsidRDefault="00000000">
            <w:r>
              <w:rPr>
                <w:rFonts w:ascii="Times New Roman" w:hAnsi="Times New Roman"/>
                <w:sz w:val="20"/>
              </w:rPr>
              <w:t>Pass</w:t>
            </w:r>
          </w:p>
        </w:tc>
        <w:tc>
          <w:tcPr>
            <w:tcW w:w="1152" w:type="dxa"/>
          </w:tcPr>
          <w:p w14:paraId="01799CC3" w14:textId="77777777" w:rsidR="00A009D4" w:rsidRDefault="00000000">
            <w:r>
              <w:rPr>
                <w:rFonts w:ascii="Times New Roman" w:hAnsi="Times New Roman"/>
                <w:sz w:val="20"/>
              </w:rPr>
              <w:t>Pass</w:t>
            </w:r>
          </w:p>
        </w:tc>
      </w:tr>
      <w:tr w:rsidR="00A009D4" w14:paraId="332B0E0B" w14:textId="77777777">
        <w:tc>
          <w:tcPr>
            <w:tcW w:w="1728" w:type="dxa"/>
          </w:tcPr>
          <w:p w14:paraId="04400CEB" w14:textId="77777777" w:rsidR="00A009D4" w:rsidRDefault="00000000">
            <w:r>
              <w:rPr>
                <w:rFonts w:ascii="Times New Roman" w:hAnsi="Times New Roman"/>
                <w:sz w:val="20"/>
              </w:rPr>
              <w:t>Microsoft Edge</w:t>
            </w:r>
          </w:p>
        </w:tc>
        <w:tc>
          <w:tcPr>
            <w:tcW w:w="1152" w:type="dxa"/>
          </w:tcPr>
          <w:p w14:paraId="283C3BDF" w14:textId="77777777" w:rsidR="00A009D4" w:rsidRDefault="00000000">
            <w:r>
              <w:rPr>
                <w:rFonts w:ascii="Times New Roman" w:hAnsi="Times New Roman"/>
                <w:sz w:val="20"/>
              </w:rPr>
              <w:t>Latest</w:t>
            </w:r>
          </w:p>
        </w:tc>
        <w:tc>
          <w:tcPr>
            <w:tcW w:w="1584" w:type="dxa"/>
          </w:tcPr>
          <w:p w14:paraId="29D1A774" w14:textId="77777777" w:rsidR="00A009D4" w:rsidRDefault="00000000">
            <w:r>
              <w:rPr>
                <w:rFonts w:ascii="Times New Roman" w:hAnsi="Times New Roman"/>
                <w:sz w:val="20"/>
              </w:rPr>
              <w:t>Pass</w:t>
            </w:r>
          </w:p>
        </w:tc>
        <w:tc>
          <w:tcPr>
            <w:tcW w:w="1584" w:type="dxa"/>
          </w:tcPr>
          <w:p w14:paraId="6B11C945" w14:textId="77777777" w:rsidR="00A009D4" w:rsidRDefault="00000000">
            <w:r>
              <w:rPr>
                <w:rFonts w:ascii="Times New Roman" w:hAnsi="Times New Roman"/>
                <w:sz w:val="20"/>
              </w:rPr>
              <w:t>Pass</w:t>
            </w:r>
          </w:p>
        </w:tc>
        <w:tc>
          <w:tcPr>
            <w:tcW w:w="1584" w:type="dxa"/>
          </w:tcPr>
          <w:p w14:paraId="24634023" w14:textId="77777777" w:rsidR="00A009D4" w:rsidRDefault="00000000">
            <w:r>
              <w:rPr>
                <w:rFonts w:ascii="Times New Roman" w:hAnsi="Times New Roman"/>
                <w:sz w:val="20"/>
              </w:rPr>
              <w:t>Pass</w:t>
            </w:r>
          </w:p>
        </w:tc>
        <w:tc>
          <w:tcPr>
            <w:tcW w:w="1152" w:type="dxa"/>
          </w:tcPr>
          <w:p w14:paraId="0EA03557" w14:textId="77777777" w:rsidR="00A009D4" w:rsidRDefault="00000000">
            <w:r>
              <w:rPr>
                <w:rFonts w:ascii="Times New Roman" w:hAnsi="Times New Roman"/>
                <w:sz w:val="20"/>
              </w:rPr>
              <w:t>Pass</w:t>
            </w:r>
          </w:p>
        </w:tc>
      </w:tr>
      <w:tr w:rsidR="00A009D4" w14:paraId="2FB6B0F4" w14:textId="77777777">
        <w:tc>
          <w:tcPr>
            <w:tcW w:w="1728" w:type="dxa"/>
          </w:tcPr>
          <w:p w14:paraId="15C681C2" w14:textId="77777777" w:rsidR="00A009D4" w:rsidRDefault="00000000">
            <w:r>
              <w:rPr>
                <w:rFonts w:ascii="Times New Roman" w:hAnsi="Times New Roman"/>
                <w:sz w:val="20"/>
              </w:rPr>
              <w:t>Safari (macOS)</w:t>
            </w:r>
          </w:p>
        </w:tc>
        <w:tc>
          <w:tcPr>
            <w:tcW w:w="1152" w:type="dxa"/>
          </w:tcPr>
          <w:p w14:paraId="7B6CA712" w14:textId="77777777" w:rsidR="00A009D4" w:rsidRDefault="00000000">
            <w:r>
              <w:rPr>
                <w:rFonts w:ascii="Times New Roman" w:hAnsi="Times New Roman"/>
                <w:sz w:val="20"/>
              </w:rPr>
              <w:t>Latest</w:t>
            </w:r>
          </w:p>
        </w:tc>
        <w:tc>
          <w:tcPr>
            <w:tcW w:w="1584" w:type="dxa"/>
          </w:tcPr>
          <w:p w14:paraId="12525534" w14:textId="77777777" w:rsidR="00A009D4" w:rsidRDefault="00000000">
            <w:r>
              <w:rPr>
                <w:rFonts w:ascii="Times New Roman" w:hAnsi="Times New Roman"/>
                <w:sz w:val="20"/>
              </w:rPr>
              <w:t>Pass</w:t>
            </w:r>
          </w:p>
        </w:tc>
        <w:tc>
          <w:tcPr>
            <w:tcW w:w="1584" w:type="dxa"/>
          </w:tcPr>
          <w:p w14:paraId="7B9B6283" w14:textId="77777777" w:rsidR="00A009D4" w:rsidRDefault="00000000">
            <w:r>
              <w:rPr>
                <w:rFonts w:ascii="Times New Roman" w:hAnsi="Times New Roman"/>
                <w:sz w:val="20"/>
              </w:rPr>
              <w:t>Pass</w:t>
            </w:r>
          </w:p>
        </w:tc>
        <w:tc>
          <w:tcPr>
            <w:tcW w:w="1584" w:type="dxa"/>
          </w:tcPr>
          <w:p w14:paraId="131F2564" w14:textId="77777777" w:rsidR="00A009D4" w:rsidRDefault="00000000">
            <w:r>
              <w:rPr>
                <w:rFonts w:ascii="Times New Roman" w:hAnsi="Times New Roman"/>
                <w:sz w:val="20"/>
              </w:rPr>
              <w:t>Pass</w:t>
            </w:r>
          </w:p>
        </w:tc>
        <w:tc>
          <w:tcPr>
            <w:tcW w:w="1152" w:type="dxa"/>
          </w:tcPr>
          <w:p w14:paraId="2CEA3316" w14:textId="77777777" w:rsidR="00A009D4" w:rsidRDefault="00000000">
            <w:r>
              <w:rPr>
                <w:rFonts w:ascii="Times New Roman" w:hAnsi="Times New Roman"/>
                <w:sz w:val="20"/>
              </w:rPr>
              <w:t>Pass</w:t>
            </w:r>
          </w:p>
        </w:tc>
      </w:tr>
    </w:tbl>
    <w:p w14:paraId="0EAF51F1" w14:textId="77777777" w:rsidR="00A009D4" w:rsidRDefault="00A009D4"/>
    <w:p w14:paraId="76E74118" w14:textId="77777777" w:rsidR="00A009D4" w:rsidRDefault="00000000">
      <w:pPr>
        <w:keepNext/>
        <w:spacing w:before="280" w:after="80"/>
      </w:pPr>
      <w:r>
        <w:rPr>
          <w:rFonts w:ascii="Times New Roman" w:hAnsi="Times New Roman"/>
          <w:b/>
          <w:sz w:val="24"/>
        </w:rPr>
        <w:t>6.3 Participant Evaluation Protocol</w:t>
      </w:r>
    </w:p>
    <w:p w14:paraId="20B93EEA" w14:textId="77777777" w:rsidR="00A009D4" w:rsidRDefault="00000000">
      <w:pPr>
        <w:spacing w:after="120"/>
        <w:jc w:val="both"/>
      </w:pPr>
      <w:r>
        <w:rPr>
          <w:rFonts w:ascii="Times New Roman" w:hAnsi="Times New Roman"/>
          <w:sz w:val="24"/>
        </w:rPr>
        <w:t>Participant evaluation was conducted during scheduled university sessions in March and April 2026. Each participant was given a brief explanation of the project's academic purpose, directed to the Microsoft Forms pre-game questionnaire URL, and allowed to complete it independently before accessing the InfoGuard platform via the GitHub Pages URL on their laptop. Sessions were self-paced; participants completed all ten rounds without assistance, then immediately completed the post-game questionnaire. The researcher was present throughout but did not interact with participants during gameplay to avoid influencing responses.</w:t>
      </w:r>
    </w:p>
    <w:p w14:paraId="7DAF60F5" w14:textId="77777777" w:rsidR="00A009D4" w:rsidRDefault="00000000">
      <w:pPr>
        <w:spacing w:after="120"/>
        <w:jc w:val="both"/>
      </w:pPr>
      <w:r>
        <w:rPr>
          <w:rFonts w:ascii="Times New Roman" w:hAnsi="Times New Roman"/>
          <w:sz w:val="24"/>
        </w:rPr>
        <w:t>The pre-game questionnaire collected: age range, gaming frequency, self-rated cybersecurity awareness (five-point scale from Poor to Excellent), and nineteen Likert-scale items covering confidence in identifying phishing, knowledge of security practices, and engagement with traditional training. The post-game questionnaire collected: revised self-rated awareness, twelve Likert-scale items on post-game confidence and awareness improvements, and items on platform engagement, usability, and perceived utility versus traditional training.</w:t>
      </w:r>
    </w:p>
    <w:p w14:paraId="4C27A1EC" w14:textId="77777777" w:rsidR="00A009D4" w:rsidRDefault="00000000">
      <w:r>
        <w:br w:type="page"/>
      </w:r>
    </w:p>
    <w:p w14:paraId="277BAB95" w14:textId="77777777" w:rsidR="00A009D4" w:rsidRDefault="00000000">
      <w:pPr>
        <w:spacing w:before="360" w:after="160"/>
        <w:jc w:val="center"/>
      </w:pPr>
      <w:r>
        <w:rPr>
          <w:rFonts w:ascii="Times New Roman" w:hAnsi="Times New Roman"/>
          <w:b/>
          <w:sz w:val="28"/>
        </w:rPr>
        <w:lastRenderedPageBreak/>
        <w:t>Chapter 7: Ethical and Legal Considerations</w:t>
      </w:r>
    </w:p>
    <w:p w14:paraId="4E724C98" w14:textId="77777777" w:rsidR="00A009D4" w:rsidRDefault="00000000">
      <w:pPr>
        <w:keepNext/>
        <w:spacing w:before="280" w:after="80"/>
      </w:pPr>
      <w:r>
        <w:rPr>
          <w:rFonts w:ascii="Times New Roman" w:hAnsi="Times New Roman"/>
          <w:b/>
          <w:sz w:val="24"/>
        </w:rPr>
        <w:t>7.1 Data Collection and Privacy</w:t>
      </w:r>
    </w:p>
    <w:p w14:paraId="11F1386A" w14:textId="77777777" w:rsidR="00A009D4" w:rsidRDefault="00000000">
      <w:pPr>
        <w:spacing w:after="120"/>
        <w:jc w:val="both"/>
      </w:pPr>
      <w:r>
        <w:rPr>
          <w:rFonts w:ascii="Times New Roman" w:hAnsi="Times New Roman"/>
          <w:sz w:val="24"/>
        </w:rPr>
        <w:t>InfoGuard was designed from the outset to collect and store absolutely no user data. This is not merely a privacy measure — it is a fundamental architectural principle. The platform is entirely front-end: there is no server, no database, no cookies, no localStorage usage, and no external API calls that could transmit data. Every aspect of the simulation — scenario selection, profile generation, scoring, and feedback — executes exclusively within the user's browser session and is discarded when the browser tab is closed or the page is refreshed. This architecture makes InfoGuard fully compliant with UK GDPR by design: there is nothing to protect because nothing is collected.</w:t>
      </w:r>
    </w:p>
    <w:p w14:paraId="6E0E0223" w14:textId="77777777" w:rsidR="00A009D4" w:rsidRDefault="00000000">
      <w:pPr>
        <w:spacing w:after="120"/>
        <w:jc w:val="both"/>
      </w:pPr>
      <w:r>
        <w:rPr>
          <w:rFonts w:ascii="Times New Roman" w:hAnsi="Times New Roman"/>
          <w:sz w:val="24"/>
        </w:rPr>
        <w:t>The in-game sender profiles are algorithmically generated fictional characters. They are constructed at runtime from a randomised pool of generic first names, HSL-generated avatar colours, and statistically weighted account statistics. They bear no resemblance to real individuals, are not based on any real person's data, and cannot be used to identify anyone. No usernames, email addresses, or social media profiles from real users appear anywhere in the platform.</w:t>
      </w:r>
    </w:p>
    <w:p w14:paraId="2A74EB6F" w14:textId="77777777" w:rsidR="00A009D4" w:rsidRDefault="00000000">
      <w:pPr>
        <w:keepNext/>
        <w:spacing w:before="280" w:after="80"/>
      </w:pPr>
      <w:r>
        <w:rPr>
          <w:rFonts w:ascii="Times New Roman" w:hAnsi="Times New Roman"/>
          <w:b/>
          <w:sz w:val="24"/>
        </w:rPr>
        <w:t>7.2 Participant Consent and Voluntary Engagement</w:t>
      </w:r>
    </w:p>
    <w:p w14:paraId="6278B865" w14:textId="77777777" w:rsidR="00A009D4" w:rsidRDefault="00000000">
      <w:pPr>
        <w:spacing w:after="120"/>
        <w:jc w:val="both"/>
      </w:pPr>
      <w:r>
        <w:rPr>
          <w:rFonts w:ascii="Times New Roman" w:hAnsi="Times New Roman"/>
          <w:sz w:val="24"/>
        </w:rPr>
        <w:t>All six participants who took part in InfoGuard testing sessions did so voluntarily. The project's academic purpose was explained to each participant before they completed either questionnaire. Participants were informed they could withdraw at any time without any consequence. No incentives were offered for participation. The questionnaires collected only anonymisable cybersecurity awareness self-assessment data; no sensitive personal information was requested. In this report, all participants are referred to using the identifiers P1–P6 to protect their privacy.</w:t>
      </w:r>
    </w:p>
    <w:p w14:paraId="4C46E7F0" w14:textId="77777777" w:rsidR="00A009D4" w:rsidRDefault="00000000">
      <w:pPr>
        <w:keepNext/>
        <w:spacing w:before="280" w:after="80"/>
      </w:pPr>
      <w:r>
        <w:rPr>
          <w:rFonts w:ascii="Times New Roman" w:hAnsi="Times New Roman"/>
          <w:b/>
          <w:sz w:val="24"/>
        </w:rPr>
        <w:t>7.3 Ethical Use of Phishing Simulation Content</w:t>
      </w:r>
    </w:p>
    <w:p w14:paraId="573CB595" w14:textId="77777777" w:rsidR="00A009D4" w:rsidRDefault="00000000">
      <w:pPr>
        <w:spacing w:after="120"/>
        <w:jc w:val="both"/>
      </w:pPr>
      <w:r>
        <w:rPr>
          <w:rFonts w:ascii="Times New Roman" w:hAnsi="Times New Roman"/>
          <w:sz w:val="24"/>
        </w:rPr>
        <w:t>InfoGuard simulates phishing attacks for educational purposes in a clearly labelled, consent-based training environment. The platform is explicitly framed as a training simulation from the start screen, and participants engaged knowing they were taking part in a cybersecurity awareness study. This is fundamentally different from real phishing attacks or covert phishing simulation testing, both of which carry legal and ethical concerns. The scenarios are fictional, the sender profiles are algorithmically generated, and all links are intercepted before any action — no participant was deceived or put at risk.</w:t>
      </w:r>
    </w:p>
    <w:p w14:paraId="4F0EF556" w14:textId="77777777" w:rsidR="00A009D4" w:rsidRDefault="00000000">
      <w:pPr>
        <w:spacing w:after="120"/>
        <w:jc w:val="both"/>
      </w:pPr>
      <w:r>
        <w:rPr>
          <w:rFonts w:ascii="Times New Roman" w:hAnsi="Times New Roman"/>
          <w:sz w:val="24"/>
        </w:rPr>
        <w:t xml:space="preserve">The platform does not instruct users in phishing techniques, does not provide tools for conducting phishing attacks, and does not include any real phishing infrastructure. It is a defensive awareness tool: its sole purpose is to train users to recognise and resist social </w:t>
      </w:r>
      <w:r>
        <w:rPr>
          <w:rFonts w:ascii="Times New Roman" w:hAnsi="Times New Roman"/>
          <w:sz w:val="24"/>
        </w:rPr>
        <w:lastRenderedPageBreak/>
        <w:t>engineering attacks, not to conduct them. All content is appropriate for educational use in a university cybersecurity curriculum context.</w:t>
      </w:r>
    </w:p>
    <w:p w14:paraId="0BE6C6C7" w14:textId="77777777" w:rsidR="00A009D4" w:rsidRDefault="00000000">
      <w:pPr>
        <w:keepNext/>
        <w:spacing w:before="280" w:after="80"/>
      </w:pPr>
      <w:r>
        <w:rPr>
          <w:rFonts w:ascii="Times New Roman" w:hAnsi="Times New Roman"/>
          <w:b/>
          <w:sz w:val="24"/>
        </w:rPr>
        <w:t>7.4 Legal Compliance</w:t>
      </w:r>
    </w:p>
    <w:p w14:paraId="2F646E4D" w14:textId="77777777" w:rsidR="00A009D4" w:rsidRDefault="00000000">
      <w:pPr>
        <w:spacing w:after="120"/>
        <w:jc w:val="both"/>
      </w:pPr>
      <w:r>
        <w:rPr>
          <w:rFonts w:ascii="Times New Roman" w:hAnsi="Times New Roman"/>
          <w:sz w:val="24"/>
        </w:rPr>
        <w:t>The platform's front-end-only architecture means it is not subject to UK GDPR data controller obligations, as no personal data is processed. The simulation scenarios are entirely fictional and do not impersonate real organisations, platforms, or individuals in a manner that could constitute fraud, defamation, or trademark infringement. The use of a generic 'Instagram DM-style' interface replicates visual conventions (familiar to users for authenticity) without reproducing trademarked logos or branding. The project Risk Assessment, completed prior to participant engagement, is included in Appendix C.</w:t>
      </w:r>
    </w:p>
    <w:p w14:paraId="3AE847AE" w14:textId="77777777" w:rsidR="00A009D4" w:rsidRDefault="00000000">
      <w:r>
        <w:br w:type="page"/>
      </w:r>
    </w:p>
    <w:p w14:paraId="7C12B187" w14:textId="77777777" w:rsidR="00A009D4" w:rsidRDefault="00000000">
      <w:pPr>
        <w:spacing w:before="360" w:after="160"/>
        <w:jc w:val="center"/>
      </w:pPr>
      <w:r>
        <w:rPr>
          <w:rFonts w:ascii="Times New Roman" w:hAnsi="Times New Roman"/>
          <w:b/>
          <w:sz w:val="28"/>
        </w:rPr>
        <w:lastRenderedPageBreak/>
        <w:t>Chapter 8: Results and Discussion</w:t>
      </w:r>
    </w:p>
    <w:p w14:paraId="743187A5" w14:textId="77777777" w:rsidR="00A009D4" w:rsidRDefault="00000000">
      <w:pPr>
        <w:keepNext/>
        <w:spacing w:before="280" w:after="80"/>
      </w:pPr>
      <w:r>
        <w:rPr>
          <w:rFonts w:ascii="Times New Roman" w:hAnsi="Times New Roman"/>
          <w:b/>
          <w:sz w:val="24"/>
        </w:rPr>
        <w:t>8.1 Pre-Game Questionnaire Findings</w:t>
      </w:r>
    </w:p>
    <w:p w14:paraId="2B2DABAB" w14:textId="77777777" w:rsidR="00A009D4" w:rsidRDefault="00000000">
      <w:pPr>
        <w:spacing w:after="120"/>
        <w:jc w:val="both"/>
      </w:pPr>
      <w:r>
        <w:rPr>
          <w:rFonts w:ascii="Times New Roman" w:hAnsi="Times New Roman"/>
          <w:sz w:val="24"/>
        </w:rPr>
        <w:t>Six participants from the BSc Cybersecurity cohort completed the pre-game questionnaire between March and April 2026. Table 8.1 summarises the participant demographics and baseline self-rated cybersecurity awareness levels.</w:t>
      </w:r>
    </w:p>
    <w:tbl>
      <w:tblPr>
        <w:tblStyle w:val="TableGrid"/>
        <w:tblW w:w="0" w:type="auto"/>
        <w:tblLook w:val="04A0" w:firstRow="1" w:lastRow="0" w:firstColumn="1" w:lastColumn="0" w:noHBand="0" w:noVBand="1"/>
      </w:tblPr>
      <w:tblGrid>
        <w:gridCol w:w="720"/>
        <w:gridCol w:w="1440"/>
        <w:gridCol w:w="2016"/>
        <w:gridCol w:w="3600"/>
      </w:tblGrid>
      <w:tr w:rsidR="00A009D4" w14:paraId="36789F70" w14:textId="77777777">
        <w:tc>
          <w:tcPr>
            <w:tcW w:w="720" w:type="dxa"/>
          </w:tcPr>
          <w:p w14:paraId="121F9A29" w14:textId="77777777" w:rsidR="00A009D4" w:rsidRDefault="00000000">
            <w:pPr>
              <w:jc w:val="center"/>
            </w:pPr>
            <w:r>
              <w:rPr>
                <w:rFonts w:ascii="Times New Roman" w:hAnsi="Times New Roman"/>
                <w:b/>
                <w:sz w:val="20"/>
              </w:rPr>
              <w:t>ID</w:t>
            </w:r>
          </w:p>
        </w:tc>
        <w:tc>
          <w:tcPr>
            <w:tcW w:w="1440" w:type="dxa"/>
          </w:tcPr>
          <w:p w14:paraId="6169E4F8" w14:textId="77777777" w:rsidR="00A009D4" w:rsidRDefault="00000000">
            <w:pPr>
              <w:jc w:val="center"/>
            </w:pPr>
            <w:r>
              <w:rPr>
                <w:rFonts w:ascii="Times New Roman" w:hAnsi="Times New Roman"/>
                <w:b/>
                <w:sz w:val="20"/>
              </w:rPr>
              <w:t>Age Range</w:t>
            </w:r>
          </w:p>
        </w:tc>
        <w:tc>
          <w:tcPr>
            <w:tcW w:w="2016" w:type="dxa"/>
          </w:tcPr>
          <w:p w14:paraId="3681E246" w14:textId="77777777" w:rsidR="00A009D4" w:rsidRDefault="00000000">
            <w:pPr>
              <w:jc w:val="center"/>
            </w:pPr>
            <w:r>
              <w:rPr>
                <w:rFonts w:ascii="Times New Roman" w:hAnsi="Times New Roman"/>
                <w:b/>
                <w:sz w:val="20"/>
              </w:rPr>
              <w:t>Gaming Frequency</w:t>
            </w:r>
          </w:p>
        </w:tc>
        <w:tc>
          <w:tcPr>
            <w:tcW w:w="3600" w:type="dxa"/>
          </w:tcPr>
          <w:p w14:paraId="2FD26BA7" w14:textId="77777777" w:rsidR="00A009D4" w:rsidRDefault="00000000">
            <w:pPr>
              <w:jc w:val="center"/>
            </w:pPr>
            <w:r>
              <w:rPr>
                <w:rFonts w:ascii="Times New Roman" w:hAnsi="Times New Roman"/>
                <w:b/>
                <w:sz w:val="20"/>
              </w:rPr>
              <w:t>Pre-Game Awareness Rating</w:t>
            </w:r>
          </w:p>
        </w:tc>
      </w:tr>
      <w:tr w:rsidR="00A009D4" w14:paraId="192CDC67" w14:textId="77777777">
        <w:tc>
          <w:tcPr>
            <w:tcW w:w="720" w:type="dxa"/>
          </w:tcPr>
          <w:p w14:paraId="4C896740" w14:textId="77777777" w:rsidR="00A009D4" w:rsidRDefault="00000000">
            <w:r>
              <w:rPr>
                <w:rFonts w:ascii="Times New Roman" w:hAnsi="Times New Roman"/>
                <w:sz w:val="20"/>
              </w:rPr>
              <w:t>P1</w:t>
            </w:r>
          </w:p>
        </w:tc>
        <w:tc>
          <w:tcPr>
            <w:tcW w:w="1440" w:type="dxa"/>
          </w:tcPr>
          <w:p w14:paraId="4E4ADABD" w14:textId="77777777" w:rsidR="00A009D4" w:rsidRDefault="00000000">
            <w:r>
              <w:rPr>
                <w:rFonts w:ascii="Times New Roman" w:hAnsi="Times New Roman"/>
                <w:sz w:val="20"/>
              </w:rPr>
              <w:t>18–21</w:t>
            </w:r>
          </w:p>
        </w:tc>
        <w:tc>
          <w:tcPr>
            <w:tcW w:w="2016" w:type="dxa"/>
          </w:tcPr>
          <w:p w14:paraId="28B6725B" w14:textId="77777777" w:rsidR="00A009D4" w:rsidRDefault="00000000">
            <w:r>
              <w:rPr>
                <w:rFonts w:ascii="Times New Roman" w:hAnsi="Times New Roman"/>
                <w:sz w:val="20"/>
              </w:rPr>
              <w:t>Rarely</w:t>
            </w:r>
          </w:p>
        </w:tc>
        <w:tc>
          <w:tcPr>
            <w:tcW w:w="3600" w:type="dxa"/>
          </w:tcPr>
          <w:p w14:paraId="7A4DE3E6" w14:textId="77777777" w:rsidR="00A009D4" w:rsidRDefault="00000000">
            <w:r>
              <w:rPr>
                <w:rFonts w:ascii="Times New Roman" w:hAnsi="Times New Roman"/>
                <w:sz w:val="20"/>
              </w:rPr>
              <w:t>Good</w:t>
            </w:r>
          </w:p>
        </w:tc>
      </w:tr>
      <w:tr w:rsidR="00A009D4" w14:paraId="788B1D43" w14:textId="77777777">
        <w:tc>
          <w:tcPr>
            <w:tcW w:w="720" w:type="dxa"/>
          </w:tcPr>
          <w:p w14:paraId="691019FB" w14:textId="77777777" w:rsidR="00A009D4" w:rsidRDefault="00000000">
            <w:r>
              <w:rPr>
                <w:rFonts w:ascii="Times New Roman" w:hAnsi="Times New Roman"/>
                <w:sz w:val="20"/>
              </w:rPr>
              <w:t>P2</w:t>
            </w:r>
          </w:p>
        </w:tc>
        <w:tc>
          <w:tcPr>
            <w:tcW w:w="1440" w:type="dxa"/>
          </w:tcPr>
          <w:p w14:paraId="29C1A5BA" w14:textId="77777777" w:rsidR="00A009D4" w:rsidRDefault="00000000">
            <w:r>
              <w:rPr>
                <w:rFonts w:ascii="Times New Roman" w:hAnsi="Times New Roman"/>
                <w:sz w:val="20"/>
              </w:rPr>
              <w:t>24–45+</w:t>
            </w:r>
          </w:p>
        </w:tc>
        <w:tc>
          <w:tcPr>
            <w:tcW w:w="2016" w:type="dxa"/>
          </w:tcPr>
          <w:p w14:paraId="04FF877F" w14:textId="77777777" w:rsidR="00A009D4" w:rsidRDefault="00000000">
            <w:r>
              <w:rPr>
                <w:rFonts w:ascii="Times New Roman" w:hAnsi="Times New Roman"/>
                <w:sz w:val="20"/>
              </w:rPr>
              <w:t>Often</w:t>
            </w:r>
          </w:p>
        </w:tc>
        <w:tc>
          <w:tcPr>
            <w:tcW w:w="3600" w:type="dxa"/>
          </w:tcPr>
          <w:p w14:paraId="59FDCC15" w14:textId="77777777" w:rsidR="00A009D4" w:rsidRDefault="00000000">
            <w:r>
              <w:rPr>
                <w:rFonts w:ascii="Times New Roman" w:hAnsi="Times New Roman"/>
                <w:sz w:val="20"/>
              </w:rPr>
              <w:t>Very Good</w:t>
            </w:r>
          </w:p>
        </w:tc>
      </w:tr>
      <w:tr w:rsidR="00A009D4" w14:paraId="120F6956" w14:textId="77777777">
        <w:tc>
          <w:tcPr>
            <w:tcW w:w="720" w:type="dxa"/>
          </w:tcPr>
          <w:p w14:paraId="0BEE992A" w14:textId="77777777" w:rsidR="00A009D4" w:rsidRDefault="00000000">
            <w:r>
              <w:rPr>
                <w:rFonts w:ascii="Times New Roman" w:hAnsi="Times New Roman"/>
                <w:sz w:val="20"/>
              </w:rPr>
              <w:t>P3</w:t>
            </w:r>
          </w:p>
        </w:tc>
        <w:tc>
          <w:tcPr>
            <w:tcW w:w="1440" w:type="dxa"/>
          </w:tcPr>
          <w:p w14:paraId="5B76A39E" w14:textId="77777777" w:rsidR="00A009D4" w:rsidRDefault="00000000">
            <w:r>
              <w:rPr>
                <w:rFonts w:ascii="Times New Roman" w:hAnsi="Times New Roman"/>
                <w:sz w:val="20"/>
              </w:rPr>
              <w:t>18–21</w:t>
            </w:r>
          </w:p>
        </w:tc>
        <w:tc>
          <w:tcPr>
            <w:tcW w:w="2016" w:type="dxa"/>
          </w:tcPr>
          <w:p w14:paraId="716FC98D" w14:textId="77777777" w:rsidR="00A009D4" w:rsidRDefault="00000000">
            <w:r>
              <w:rPr>
                <w:rFonts w:ascii="Times New Roman" w:hAnsi="Times New Roman"/>
                <w:sz w:val="20"/>
              </w:rPr>
              <w:t>Often</w:t>
            </w:r>
          </w:p>
        </w:tc>
        <w:tc>
          <w:tcPr>
            <w:tcW w:w="3600" w:type="dxa"/>
          </w:tcPr>
          <w:p w14:paraId="6894084D" w14:textId="77777777" w:rsidR="00A009D4" w:rsidRDefault="00000000">
            <w:r>
              <w:rPr>
                <w:rFonts w:ascii="Times New Roman" w:hAnsi="Times New Roman"/>
                <w:sz w:val="20"/>
              </w:rPr>
              <w:t>Very Good</w:t>
            </w:r>
          </w:p>
        </w:tc>
      </w:tr>
      <w:tr w:rsidR="00A009D4" w14:paraId="043B47C0" w14:textId="77777777">
        <w:tc>
          <w:tcPr>
            <w:tcW w:w="720" w:type="dxa"/>
          </w:tcPr>
          <w:p w14:paraId="7448C947" w14:textId="77777777" w:rsidR="00A009D4" w:rsidRDefault="00000000">
            <w:r>
              <w:rPr>
                <w:rFonts w:ascii="Times New Roman" w:hAnsi="Times New Roman"/>
                <w:sz w:val="20"/>
              </w:rPr>
              <w:t>P4</w:t>
            </w:r>
          </w:p>
        </w:tc>
        <w:tc>
          <w:tcPr>
            <w:tcW w:w="1440" w:type="dxa"/>
          </w:tcPr>
          <w:p w14:paraId="275E9C1C" w14:textId="77777777" w:rsidR="00A009D4" w:rsidRDefault="00000000">
            <w:r>
              <w:rPr>
                <w:rFonts w:ascii="Times New Roman" w:hAnsi="Times New Roman"/>
                <w:sz w:val="20"/>
              </w:rPr>
              <w:t>22–24</w:t>
            </w:r>
          </w:p>
        </w:tc>
        <w:tc>
          <w:tcPr>
            <w:tcW w:w="2016" w:type="dxa"/>
          </w:tcPr>
          <w:p w14:paraId="7397A6A0" w14:textId="77777777" w:rsidR="00A009D4" w:rsidRDefault="00000000">
            <w:r>
              <w:rPr>
                <w:rFonts w:ascii="Times New Roman" w:hAnsi="Times New Roman"/>
                <w:sz w:val="20"/>
              </w:rPr>
              <w:t>Often</w:t>
            </w:r>
          </w:p>
        </w:tc>
        <w:tc>
          <w:tcPr>
            <w:tcW w:w="3600" w:type="dxa"/>
          </w:tcPr>
          <w:p w14:paraId="1BE03AC5" w14:textId="77777777" w:rsidR="00A009D4" w:rsidRDefault="00000000">
            <w:r>
              <w:rPr>
                <w:rFonts w:ascii="Times New Roman" w:hAnsi="Times New Roman"/>
                <w:sz w:val="20"/>
              </w:rPr>
              <w:t>Fair</w:t>
            </w:r>
          </w:p>
        </w:tc>
      </w:tr>
      <w:tr w:rsidR="00A009D4" w14:paraId="1C896C33" w14:textId="77777777">
        <w:tc>
          <w:tcPr>
            <w:tcW w:w="720" w:type="dxa"/>
          </w:tcPr>
          <w:p w14:paraId="713C3C5B" w14:textId="77777777" w:rsidR="00A009D4" w:rsidRDefault="00000000">
            <w:r>
              <w:rPr>
                <w:rFonts w:ascii="Times New Roman" w:hAnsi="Times New Roman"/>
                <w:sz w:val="20"/>
              </w:rPr>
              <w:t>P5</w:t>
            </w:r>
          </w:p>
        </w:tc>
        <w:tc>
          <w:tcPr>
            <w:tcW w:w="1440" w:type="dxa"/>
          </w:tcPr>
          <w:p w14:paraId="2EE46453" w14:textId="77777777" w:rsidR="00A009D4" w:rsidRDefault="00000000">
            <w:r>
              <w:rPr>
                <w:rFonts w:ascii="Times New Roman" w:hAnsi="Times New Roman"/>
                <w:sz w:val="20"/>
              </w:rPr>
              <w:t>18–21</w:t>
            </w:r>
          </w:p>
        </w:tc>
        <w:tc>
          <w:tcPr>
            <w:tcW w:w="2016" w:type="dxa"/>
          </w:tcPr>
          <w:p w14:paraId="0AE981F9" w14:textId="77777777" w:rsidR="00A009D4" w:rsidRDefault="00000000">
            <w:r>
              <w:rPr>
                <w:rFonts w:ascii="Times New Roman" w:hAnsi="Times New Roman"/>
                <w:sz w:val="20"/>
              </w:rPr>
              <w:t>Sometimes</w:t>
            </w:r>
          </w:p>
        </w:tc>
        <w:tc>
          <w:tcPr>
            <w:tcW w:w="3600" w:type="dxa"/>
          </w:tcPr>
          <w:p w14:paraId="3B2BDB50" w14:textId="77777777" w:rsidR="00A009D4" w:rsidRDefault="00000000">
            <w:r>
              <w:rPr>
                <w:rFonts w:ascii="Times New Roman" w:hAnsi="Times New Roman"/>
                <w:sz w:val="20"/>
              </w:rPr>
              <w:t>Good</w:t>
            </w:r>
          </w:p>
        </w:tc>
      </w:tr>
      <w:tr w:rsidR="00A009D4" w14:paraId="5AF4E400" w14:textId="77777777">
        <w:tc>
          <w:tcPr>
            <w:tcW w:w="720" w:type="dxa"/>
          </w:tcPr>
          <w:p w14:paraId="5F0895BA" w14:textId="77777777" w:rsidR="00A009D4" w:rsidRDefault="00000000">
            <w:r>
              <w:rPr>
                <w:rFonts w:ascii="Times New Roman" w:hAnsi="Times New Roman"/>
                <w:sz w:val="20"/>
              </w:rPr>
              <w:t>P6</w:t>
            </w:r>
          </w:p>
        </w:tc>
        <w:tc>
          <w:tcPr>
            <w:tcW w:w="1440" w:type="dxa"/>
          </w:tcPr>
          <w:p w14:paraId="6764D90F" w14:textId="77777777" w:rsidR="00A009D4" w:rsidRDefault="00000000">
            <w:r>
              <w:rPr>
                <w:rFonts w:ascii="Times New Roman" w:hAnsi="Times New Roman"/>
                <w:sz w:val="20"/>
              </w:rPr>
              <w:t>18–21</w:t>
            </w:r>
          </w:p>
        </w:tc>
        <w:tc>
          <w:tcPr>
            <w:tcW w:w="2016" w:type="dxa"/>
          </w:tcPr>
          <w:p w14:paraId="22E80225" w14:textId="77777777" w:rsidR="00A009D4" w:rsidRDefault="00000000">
            <w:r>
              <w:rPr>
                <w:rFonts w:ascii="Times New Roman" w:hAnsi="Times New Roman"/>
                <w:sz w:val="20"/>
              </w:rPr>
              <w:t>Very Often</w:t>
            </w:r>
          </w:p>
        </w:tc>
        <w:tc>
          <w:tcPr>
            <w:tcW w:w="3600" w:type="dxa"/>
          </w:tcPr>
          <w:p w14:paraId="39A71C49" w14:textId="77777777" w:rsidR="00A009D4" w:rsidRDefault="00000000">
            <w:r>
              <w:rPr>
                <w:rFonts w:ascii="Times New Roman" w:hAnsi="Times New Roman"/>
                <w:sz w:val="20"/>
              </w:rPr>
              <w:t>Excellent</w:t>
            </w:r>
          </w:p>
        </w:tc>
      </w:tr>
    </w:tbl>
    <w:p w14:paraId="7FDBB8C6" w14:textId="77777777" w:rsidR="00A009D4" w:rsidRDefault="00A009D4"/>
    <w:p w14:paraId="2B4C8FE6" w14:textId="77777777" w:rsidR="00A009D4" w:rsidRDefault="00000000">
      <w:pPr>
        <w:spacing w:after="120"/>
        <w:jc w:val="both"/>
      </w:pPr>
      <w:r>
        <w:rPr>
          <w:rFonts w:ascii="Times New Roman" w:hAnsi="Times New Roman"/>
          <w:i/>
          <w:sz w:val="24"/>
        </w:rPr>
        <w:t>Table 8.1: Participant demographics and pre-game baseline awareness ratings.</w:t>
      </w:r>
    </w:p>
    <w:p w14:paraId="333929B8" w14:textId="77777777" w:rsidR="00A009D4" w:rsidRDefault="00000000">
      <w:pPr>
        <w:spacing w:after="120"/>
        <w:jc w:val="both"/>
      </w:pPr>
      <w:r>
        <w:rPr>
          <w:rFonts w:ascii="Times New Roman" w:hAnsi="Times New Roman"/>
          <w:sz w:val="24"/>
        </w:rPr>
        <w:t>Analysis of pre-game Likert-scale responses revealed a broadly high baseline across most technical knowledge items, which is expected given that all participants were third-year BSc Cybersecurity students. Five of six participants (83%) strongly agreed or agreed that they could identify phishing emails. All six (100%) reported knowing how to verify whether a website is legitimate before entering personal information, and five of six (83%) knew what to do if they suspected clicking a malicious link.</w:t>
      </w:r>
    </w:p>
    <w:p w14:paraId="33025668" w14:textId="77777777" w:rsidR="00A009D4" w:rsidRDefault="00000000">
      <w:pPr>
        <w:spacing w:after="120"/>
        <w:jc w:val="both"/>
      </w:pPr>
      <w:r>
        <w:rPr>
          <w:rFonts w:ascii="Times New Roman" w:hAnsi="Times New Roman"/>
          <w:sz w:val="24"/>
        </w:rPr>
        <w:t>However, more nuanced indicators revealed areas of genuine vulnerability even within this technically knowledgeable cohort. Only two of six participants (33%) agreed or strongly agreed that they regularly read privacy or permission information before signing up to online services. Three of six (50%) expressed neutral or negative responses regarding confidence in spotting suspicious social media DM links — the specific skill InfoGuard trains. Regarding traditional training engagement, three participants explicitly rated lectures and PDFs as not engaging (Disagree or Strongly Disagree), with one rating them Neutral, confirming the low-engagement problem documented in the literature.</w:t>
      </w:r>
    </w:p>
    <w:p w14:paraId="7BB99018" w14:textId="77777777" w:rsidR="00A009D4" w:rsidRDefault="00000000">
      <w:pPr>
        <w:spacing w:after="120"/>
        <w:jc w:val="both"/>
      </w:pPr>
      <w:r>
        <w:rPr>
          <w:rFonts w:ascii="Times New Roman" w:hAnsi="Times New Roman"/>
          <w:sz w:val="24"/>
        </w:rPr>
        <w:t>Open-text responses to the final pre-game question ('What one thing do you most want to learn from this game?') revealed diverse but genuine learning intentions: P4 wanted 'suggestions as to how to mitigate certain areas I am not completely comfortable with and a brief explanation of why it is important'; P5 wanted to know 'how to increase the security actions I can take to prevent being a victim of phishing attacks'; P6 was interested in 'different types of phishing attempts'. These responses confirm authentic learner motivation rather than passive compliance.</w:t>
      </w:r>
    </w:p>
    <w:p w14:paraId="18D9F164" w14:textId="77777777" w:rsidR="00A009D4" w:rsidRDefault="00000000">
      <w:pPr>
        <w:spacing w:after="120"/>
        <w:jc w:val="both"/>
      </w:pPr>
      <w:r>
        <w:rPr>
          <w:rFonts w:ascii="Times New Roman" w:hAnsi="Times New Roman"/>
          <w:sz w:val="24"/>
        </w:rPr>
        <w:t xml:space="preserve">The pre-game results also surfaced an important finding regarding the gap between general phishing knowledge and social media DM phishing knowledge specifically. While most participants rated themselves highly on general phishing identification ability, the social </w:t>
      </w:r>
      <w:r>
        <w:rPr>
          <w:rFonts w:ascii="Times New Roman" w:hAnsi="Times New Roman"/>
          <w:sz w:val="24"/>
        </w:rPr>
        <w:lastRenderedPageBreak/>
        <w:t>media DM context presented in InfoGuard was identified by several participants as a less familiar threat scenario than email phishing. P4 noted in their pre-game open-text response that they were not 'completely comfortable' with certain areas, suggesting awareness of gaps in their knowledge beyond the general competence their Likert-scale ratings implied. This finding aligns with Vishwanath et al. (2011), who documented that high general security awareness does not reliably transfer to social media DM threat recognition without specific contextual training [9].</w:t>
      </w:r>
    </w:p>
    <w:p w14:paraId="7C0E48CA" w14:textId="77777777" w:rsidR="00A009D4" w:rsidRDefault="00000000">
      <w:pPr>
        <w:keepNext/>
        <w:spacing w:before="280" w:after="80"/>
      </w:pPr>
      <w:r>
        <w:rPr>
          <w:rFonts w:ascii="Times New Roman" w:hAnsi="Times New Roman"/>
          <w:b/>
          <w:sz w:val="24"/>
        </w:rPr>
        <w:t>8.2 Post-Game Questionnaire Findings</w:t>
      </w:r>
    </w:p>
    <w:p w14:paraId="4B0B67D1" w14:textId="77777777" w:rsidR="00A009D4" w:rsidRDefault="00000000">
      <w:pPr>
        <w:spacing w:after="120"/>
        <w:jc w:val="both"/>
      </w:pPr>
      <w:r>
        <w:rPr>
          <w:rFonts w:ascii="Times New Roman" w:hAnsi="Times New Roman"/>
          <w:sz w:val="24"/>
        </w:rPr>
        <w:t>Five participants completed the post-game questionnaire in April 2026. Table 8.2 shows the self-rated awareness level before and after gameplay for the five matched respondents.</w:t>
      </w:r>
    </w:p>
    <w:tbl>
      <w:tblPr>
        <w:tblStyle w:val="TableGrid"/>
        <w:tblW w:w="0" w:type="auto"/>
        <w:tblLook w:val="04A0" w:firstRow="1" w:lastRow="0" w:firstColumn="1" w:lastColumn="0" w:noHBand="0" w:noVBand="1"/>
      </w:tblPr>
      <w:tblGrid>
        <w:gridCol w:w="1631"/>
        <w:gridCol w:w="1978"/>
        <w:gridCol w:w="2097"/>
        <w:gridCol w:w="2924"/>
      </w:tblGrid>
      <w:tr w:rsidR="00A009D4" w14:paraId="13DE1FD1" w14:textId="77777777">
        <w:tc>
          <w:tcPr>
            <w:tcW w:w="1728" w:type="dxa"/>
          </w:tcPr>
          <w:p w14:paraId="0F9A8F46" w14:textId="77777777" w:rsidR="00A009D4" w:rsidRDefault="00000000">
            <w:pPr>
              <w:jc w:val="center"/>
            </w:pPr>
            <w:r>
              <w:rPr>
                <w:rFonts w:ascii="Times New Roman" w:hAnsi="Times New Roman"/>
                <w:b/>
                <w:sz w:val="20"/>
              </w:rPr>
              <w:t>Participant</w:t>
            </w:r>
          </w:p>
        </w:tc>
        <w:tc>
          <w:tcPr>
            <w:tcW w:w="2160" w:type="dxa"/>
          </w:tcPr>
          <w:p w14:paraId="37773BCF" w14:textId="77777777" w:rsidR="00A009D4" w:rsidRDefault="00000000">
            <w:pPr>
              <w:jc w:val="center"/>
            </w:pPr>
            <w:r>
              <w:rPr>
                <w:rFonts w:ascii="Times New Roman" w:hAnsi="Times New Roman"/>
                <w:b/>
                <w:sz w:val="20"/>
              </w:rPr>
              <w:t>Pre-Game Awareness</w:t>
            </w:r>
          </w:p>
        </w:tc>
        <w:tc>
          <w:tcPr>
            <w:tcW w:w="2304" w:type="dxa"/>
          </w:tcPr>
          <w:p w14:paraId="743E43B2" w14:textId="77777777" w:rsidR="00A009D4" w:rsidRDefault="00000000">
            <w:pPr>
              <w:jc w:val="center"/>
            </w:pPr>
            <w:r>
              <w:rPr>
                <w:rFonts w:ascii="Times New Roman" w:hAnsi="Times New Roman"/>
                <w:b/>
                <w:sz w:val="20"/>
              </w:rPr>
              <w:t>Post-Game Awareness</w:t>
            </w:r>
          </w:p>
        </w:tc>
        <w:tc>
          <w:tcPr>
            <w:tcW w:w="3312" w:type="dxa"/>
          </w:tcPr>
          <w:p w14:paraId="13B7F928" w14:textId="77777777" w:rsidR="00A009D4" w:rsidRDefault="00000000">
            <w:pPr>
              <w:jc w:val="center"/>
            </w:pPr>
            <w:r>
              <w:rPr>
                <w:rFonts w:ascii="Times New Roman" w:hAnsi="Times New Roman"/>
                <w:b/>
                <w:sz w:val="20"/>
              </w:rPr>
              <w:t>Direction</w:t>
            </w:r>
          </w:p>
        </w:tc>
      </w:tr>
      <w:tr w:rsidR="00A009D4" w14:paraId="45AE72D6" w14:textId="77777777">
        <w:tc>
          <w:tcPr>
            <w:tcW w:w="1728" w:type="dxa"/>
          </w:tcPr>
          <w:p w14:paraId="4B7755D0" w14:textId="77777777" w:rsidR="00A009D4" w:rsidRDefault="00000000">
            <w:r>
              <w:rPr>
                <w:rFonts w:ascii="Times New Roman" w:hAnsi="Times New Roman"/>
                <w:sz w:val="20"/>
              </w:rPr>
              <w:t>P1</w:t>
            </w:r>
          </w:p>
        </w:tc>
        <w:tc>
          <w:tcPr>
            <w:tcW w:w="2160" w:type="dxa"/>
          </w:tcPr>
          <w:p w14:paraId="3C23F1F1" w14:textId="77777777" w:rsidR="00A009D4" w:rsidRDefault="00000000">
            <w:r>
              <w:rPr>
                <w:rFonts w:ascii="Times New Roman" w:hAnsi="Times New Roman"/>
                <w:sz w:val="20"/>
              </w:rPr>
              <w:t>Good</w:t>
            </w:r>
          </w:p>
        </w:tc>
        <w:tc>
          <w:tcPr>
            <w:tcW w:w="2304" w:type="dxa"/>
          </w:tcPr>
          <w:p w14:paraId="4A057B2C" w14:textId="77777777" w:rsidR="00A009D4" w:rsidRDefault="00000000">
            <w:r>
              <w:rPr>
                <w:rFonts w:ascii="Times New Roman" w:hAnsi="Times New Roman"/>
                <w:sz w:val="20"/>
              </w:rPr>
              <w:t>Excellent</w:t>
            </w:r>
          </w:p>
        </w:tc>
        <w:tc>
          <w:tcPr>
            <w:tcW w:w="3312" w:type="dxa"/>
          </w:tcPr>
          <w:p w14:paraId="4F5331E8" w14:textId="77777777" w:rsidR="00A009D4" w:rsidRDefault="00000000">
            <w:r>
              <w:rPr>
                <w:rFonts w:ascii="Times New Roman" w:hAnsi="Times New Roman"/>
                <w:sz w:val="20"/>
              </w:rPr>
              <w:t>↑ Improved</w:t>
            </w:r>
          </w:p>
        </w:tc>
      </w:tr>
      <w:tr w:rsidR="00A009D4" w14:paraId="45B6D011" w14:textId="77777777">
        <w:tc>
          <w:tcPr>
            <w:tcW w:w="1728" w:type="dxa"/>
          </w:tcPr>
          <w:p w14:paraId="5078689D" w14:textId="77777777" w:rsidR="00A009D4" w:rsidRDefault="00000000">
            <w:r>
              <w:rPr>
                <w:rFonts w:ascii="Times New Roman" w:hAnsi="Times New Roman"/>
                <w:sz w:val="20"/>
              </w:rPr>
              <w:t>P2</w:t>
            </w:r>
          </w:p>
        </w:tc>
        <w:tc>
          <w:tcPr>
            <w:tcW w:w="2160" w:type="dxa"/>
          </w:tcPr>
          <w:p w14:paraId="365225F4" w14:textId="77777777" w:rsidR="00A009D4" w:rsidRDefault="00000000">
            <w:r>
              <w:rPr>
                <w:rFonts w:ascii="Times New Roman" w:hAnsi="Times New Roman"/>
                <w:sz w:val="20"/>
              </w:rPr>
              <w:t>Very Good</w:t>
            </w:r>
          </w:p>
        </w:tc>
        <w:tc>
          <w:tcPr>
            <w:tcW w:w="2304" w:type="dxa"/>
          </w:tcPr>
          <w:p w14:paraId="0886D018" w14:textId="77777777" w:rsidR="00A009D4" w:rsidRDefault="00000000">
            <w:r>
              <w:rPr>
                <w:rFonts w:ascii="Times New Roman" w:hAnsi="Times New Roman"/>
                <w:sz w:val="20"/>
              </w:rPr>
              <w:t>Very Good</w:t>
            </w:r>
          </w:p>
        </w:tc>
        <w:tc>
          <w:tcPr>
            <w:tcW w:w="3312" w:type="dxa"/>
          </w:tcPr>
          <w:p w14:paraId="36E9E304" w14:textId="77777777" w:rsidR="00A009D4" w:rsidRDefault="00000000">
            <w:r>
              <w:rPr>
                <w:rFonts w:ascii="Times New Roman" w:hAnsi="Times New Roman"/>
                <w:sz w:val="20"/>
              </w:rPr>
              <w:t>→ Maintained</w:t>
            </w:r>
          </w:p>
        </w:tc>
      </w:tr>
      <w:tr w:rsidR="00A009D4" w14:paraId="09EC7730" w14:textId="77777777">
        <w:tc>
          <w:tcPr>
            <w:tcW w:w="1728" w:type="dxa"/>
          </w:tcPr>
          <w:p w14:paraId="1158FE2F" w14:textId="77777777" w:rsidR="00A009D4" w:rsidRDefault="00000000">
            <w:r>
              <w:rPr>
                <w:rFonts w:ascii="Times New Roman" w:hAnsi="Times New Roman"/>
                <w:sz w:val="20"/>
              </w:rPr>
              <w:t>P3</w:t>
            </w:r>
          </w:p>
        </w:tc>
        <w:tc>
          <w:tcPr>
            <w:tcW w:w="2160" w:type="dxa"/>
          </w:tcPr>
          <w:p w14:paraId="1E1C1B08" w14:textId="77777777" w:rsidR="00A009D4" w:rsidRDefault="00000000">
            <w:r>
              <w:rPr>
                <w:rFonts w:ascii="Times New Roman" w:hAnsi="Times New Roman"/>
                <w:sz w:val="20"/>
              </w:rPr>
              <w:t>Very Good</w:t>
            </w:r>
          </w:p>
        </w:tc>
        <w:tc>
          <w:tcPr>
            <w:tcW w:w="2304" w:type="dxa"/>
          </w:tcPr>
          <w:p w14:paraId="3745C019" w14:textId="77777777" w:rsidR="00A009D4" w:rsidRDefault="00000000">
            <w:r>
              <w:rPr>
                <w:rFonts w:ascii="Times New Roman" w:hAnsi="Times New Roman"/>
                <w:sz w:val="20"/>
              </w:rPr>
              <w:t>Very Good</w:t>
            </w:r>
          </w:p>
        </w:tc>
        <w:tc>
          <w:tcPr>
            <w:tcW w:w="3312" w:type="dxa"/>
          </w:tcPr>
          <w:p w14:paraId="09E74FC9" w14:textId="77777777" w:rsidR="00A009D4" w:rsidRDefault="00000000">
            <w:r>
              <w:rPr>
                <w:rFonts w:ascii="Times New Roman" w:hAnsi="Times New Roman"/>
                <w:sz w:val="20"/>
              </w:rPr>
              <w:t>→ Maintained</w:t>
            </w:r>
          </w:p>
        </w:tc>
      </w:tr>
      <w:tr w:rsidR="00A009D4" w14:paraId="3662E473" w14:textId="77777777">
        <w:tc>
          <w:tcPr>
            <w:tcW w:w="1728" w:type="dxa"/>
          </w:tcPr>
          <w:p w14:paraId="4FA52382" w14:textId="77777777" w:rsidR="00A009D4" w:rsidRDefault="00000000">
            <w:r>
              <w:rPr>
                <w:rFonts w:ascii="Times New Roman" w:hAnsi="Times New Roman"/>
                <w:sz w:val="20"/>
              </w:rPr>
              <w:t>P5</w:t>
            </w:r>
          </w:p>
        </w:tc>
        <w:tc>
          <w:tcPr>
            <w:tcW w:w="2160" w:type="dxa"/>
          </w:tcPr>
          <w:p w14:paraId="0D501F7A" w14:textId="77777777" w:rsidR="00A009D4" w:rsidRDefault="00000000">
            <w:r>
              <w:rPr>
                <w:rFonts w:ascii="Times New Roman" w:hAnsi="Times New Roman"/>
                <w:sz w:val="20"/>
              </w:rPr>
              <w:t>Good</w:t>
            </w:r>
          </w:p>
        </w:tc>
        <w:tc>
          <w:tcPr>
            <w:tcW w:w="2304" w:type="dxa"/>
          </w:tcPr>
          <w:p w14:paraId="55D4385A" w14:textId="77777777" w:rsidR="00A009D4" w:rsidRDefault="00000000">
            <w:r>
              <w:rPr>
                <w:rFonts w:ascii="Times New Roman" w:hAnsi="Times New Roman"/>
                <w:sz w:val="20"/>
              </w:rPr>
              <w:t>Very Good</w:t>
            </w:r>
          </w:p>
        </w:tc>
        <w:tc>
          <w:tcPr>
            <w:tcW w:w="3312" w:type="dxa"/>
          </w:tcPr>
          <w:p w14:paraId="4982B4E7" w14:textId="77777777" w:rsidR="00A009D4" w:rsidRDefault="00000000">
            <w:r>
              <w:rPr>
                <w:rFonts w:ascii="Times New Roman" w:hAnsi="Times New Roman"/>
                <w:sz w:val="20"/>
              </w:rPr>
              <w:t>↑ Improved</w:t>
            </w:r>
          </w:p>
        </w:tc>
      </w:tr>
      <w:tr w:rsidR="00A009D4" w14:paraId="3E7630C1" w14:textId="77777777">
        <w:tc>
          <w:tcPr>
            <w:tcW w:w="1728" w:type="dxa"/>
          </w:tcPr>
          <w:p w14:paraId="0AE2E426" w14:textId="77777777" w:rsidR="00A009D4" w:rsidRDefault="00000000">
            <w:r>
              <w:rPr>
                <w:rFonts w:ascii="Times New Roman" w:hAnsi="Times New Roman"/>
                <w:sz w:val="20"/>
              </w:rPr>
              <w:t>P6</w:t>
            </w:r>
          </w:p>
        </w:tc>
        <w:tc>
          <w:tcPr>
            <w:tcW w:w="2160" w:type="dxa"/>
          </w:tcPr>
          <w:p w14:paraId="3D574D83" w14:textId="77777777" w:rsidR="00A009D4" w:rsidRDefault="00000000">
            <w:r>
              <w:rPr>
                <w:rFonts w:ascii="Times New Roman" w:hAnsi="Times New Roman"/>
                <w:sz w:val="20"/>
              </w:rPr>
              <w:t>Excellent</w:t>
            </w:r>
          </w:p>
        </w:tc>
        <w:tc>
          <w:tcPr>
            <w:tcW w:w="2304" w:type="dxa"/>
          </w:tcPr>
          <w:p w14:paraId="59456DE9" w14:textId="77777777" w:rsidR="00A009D4" w:rsidRDefault="00000000">
            <w:r>
              <w:rPr>
                <w:rFonts w:ascii="Times New Roman" w:hAnsi="Times New Roman"/>
                <w:sz w:val="20"/>
              </w:rPr>
              <w:t>Excellent</w:t>
            </w:r>
          </w:p>
        </w:tc>
        <w:tc>
          <w:tcPr>
            <w:tcW w:w="3312" w:type="dxa"/>
          </w:tcPr>
          <w:p w14:paraId="57965CE2" w14:textId="77777777" w:rsidR="00A009D4" w:rsidRDefault="00000000">
            <w:r>
              <w:rPr>
                <w:rFonts w:ascii="Times New Roman" w:hAnsi="Times New Roman"/>
                <w:sz w:val="20"/>
              </w:rPr>
              <w:t>→ Maintained</w:t>
            </w:r>
          </w:p>
        </w:tc>
      </w:tr>
    </w:tbl>
    <w:p w14:paraId="5739301B" w14:textId="77777777" w:rsidR="00A009D4" w:rsidRDefault="00A009D4"/>
    <w:p w14:paraId="47F76D66" w14:textId="77777777" w:rsidR="00A009D4" w:rsidRDefault="00000000">
      <w:pPr>
        <w:spacing w:after="120"/>
        <w:jc w:val="both"/>
      </w:pPr>
      <w:r>
        <w:rPr>
          <w:rFonts w:ascii="Times New Roman" w:hAnsi="Times New Roman"/>
          <w:i/>
          <w:sz w:val="24"/>
        </w:rPr>
        <w:t>Table 8.2: Pre- and post-game self-rated cybersecurity awareness (matched respondents).</w:t>
      </w:r>
    </w:p>
    <w:p w14:paraId="7A2CC9FA" w14:textId="77777777" w:rsidR="00A009D4" w:rsidRDefault="00000000">
      <w:pPr>
        <w:spacing w:after="120"/>
        <w:jc w:val="both"/>
      </w:pPr>
      <w:r>
        <w:rPr>
          <w:rFonts w:ascii="Times New Roman" w:hAnsi="Times New Roman"/>
          <w:sz w:val="24"/>
        </w:rPr>
        <w:t>Post-game responses demonstrated measurable improvements across all tracked awareness indicators. All five post-game respondents (100%) Strongly Agreed that the platform helped them understand how personal information can be unintentionally disclosed online — the primary learning objective of the registration stage simulation. All five agreed or strongly agreed that InfoGuard made them more aware of what to check before clicking links or opening attachments.</w:t>
      </w:r>
    </w:p>
    <w:p w14:paraId="234D798D" w14:textId="77777777" w:rsidR="00A009D4" w:rsidRDefault="00000000">
      <w:pPr>
        <w:spacing w:after="120"/>
        <w:jc w:val="both"/>
      </w:pPr>
      <w:r>
        <w:rPr>
          <w:rFonts w:ascii="Times New Roman" w:hAnsi="Times New Roman"/>
          <w:sz w:val="24"/>
        </w:rPr>
        <w:t>Four of five participants (80%) rated InfoGuard as 'Much more useful' than traditional training methods such as lectures, PDFs, and slides; the remaining participant (P6) rated it as 'Slightly more useful'. All five confirmed they would recommend InfoGuard to other students as a cybersecurity awareness tool. Four of five (80%) reported feeling 'Extremely confident' or 'Somewhat confident' in protecting themselves from online scams after gameplay, compared to baseline ratings that ranged from Fair to Excellent. Engagement ratings were high: two participants rated the game 'Very engaging', two rated it 'Quite engaging', and one was 'Neutral'. All five found the game 'Very easy' to understand and navigate.</w:t>
      </w:r>
    </w:p>
    <w:p w14:paraId="6E3CE844" w14:textId="77777777" w:rsidR="00A009D4" w:rsidRDefault="00000000">
      <w:pPr>
        <w:spacing w:after="120"/>
        <w:jc w:val="both"/>
      </w:pPr>
      <w:r>
        <w:rPr>
          <w:rFonts w:ascii="Times New Roman" w:hAnsi="Times New Roman"/>
          <w:sz w:val="24"/>
        </w:rPr>
        <w:t xml:space="preserve">Examining individual participant trajectories provides additional nuance beyond aggregate percentages. P1 showed the most dramatic self-reported improvement, moving from 'Good' to 'Excellent' awareness and reporting 'Extremely confident' post-game protection confidence — a notable shift given that P1 had rated their pre-game phishing identification confidence as 'Strongly Agree', suggesting that gameplay revealed previously </w:t>
      </w:r>
      <w:r>
        <w:rPr>
          <w:rFonts w:ascii="Times New Roman" w:hAnsi="Times New Roman"/>
          <w:sz w:val="24"/>
        </w:rPr>
        <w:lastRenderedPageBreak/>
        <w:t>unrecognised vulnerability patterns in the DM phishing context specifically. P6, who entered with the highest baseline ('Excellent') and still rated the game as 'Very engaging' and recommended it to others, demonstrates that InfoGuard adds educational value even for highly aware users — the social media DM attack vector presented scenarios that even technically knowledgeable participants found genuinely challenging.</w:t>
      </w:r>
    </w:p>
    <w:p w14:paraId="31A774EF" w14:textId="77777777" w:rsidR="00A009D4" w:rsidRDefault="00000000">
      <w:pPr>
        <w:spacing w:after="120"/>
        <w:jc w:val="both"/>
      </w:pPr>
      <w:r>
        <w:rPr>
          <w:rFonts w:ascii="Times New Roman" w:hAnsi="Times New Roman"/>
          <w:sz w:val="24"/>
        </w:rPr>
        <w:t>The single 'Neutral' engagement rating from P5 — who also selected 'Maybe' rather than 'Yes' to the recommendation question — merits critical reflection. P5's open-text pre-game response indicated a desire to learn 'how to increase the security actions I can take to prevent being a victim', suggesting an expectation of more prescriptive, actionable guidance than InfoGuard's scenario-classification format delivers. This is a genuine limitation of the current design: InfoGuard trains recognition and identification skills but provides limited structured guidance on post-incident response actions. Future iterations could address this directly by adding a 'What to do next' panel to the end-of-game scorecard, providing step-by-step response guidance for each scenario category encountered.</w:t>
      </w:r>
    </w:p>
    <w:tbl>
      <w:tblPr>
        <w:tblStyle w:val="TableGrid"/>
        <w:tblW w:w="0" w:type="auto"/>
        <w:tblLook w:val="04A0" w:firstRow="1" w:lastRow="0" w:firstColumn="1" w:lastColumn="0" w:noHBand="0" w:noVBand="1"/>
      </w:tblPr>
      <w:tblGrid>
        <w:gridCol w:w="4221"/>
        <w:gridCol w:w="2119"/>
        <w:gridCol w:w="1144"/>
        <w:gridCol w:w="1146"/>
      </w:tblGrid>
      <w:tr w:rsidR="00A009D4" w14:paraId="7A1EFFA6" w14:textId="77777777">
        <w:tc>
          <w:tcPr>
            <w:tcW w:w="4320" w:type="dxa"/>
          </w:tcPr>
          <w:p w14:paraId="003DD4F6" w14:textId="77777777" w:rsidR="00A009D4" w:rsidRDefault="00000000">
            <w:pPr>
              <w:jc w:val="center"/>
            </w:pPr>
            <w:r>
              <w:rPr>
                <w:rFonts w:ascii="Times New Roman" w:hAnsi="Times New Roman"/>
                <w:b/>
                <w:sz w:val="20"/>
              </w:rPr>
              <w:t>Post-Game Indicator</w:t>
            </w:r>
          </w:p>
        </w:tc>
        <w:tc>
          <w:tcPr>
            <w:tcW w:w="2160" w:type="dxa"/>
          </w:tcPr>
          <w:p w14:paraId="5F1F9691" w14:textId="77777777" w:rsidR="00A009D4" w:rsidRDefault="00000000">
            <w:pPr>
              <w:jc w:val="center"/>
            </w:pPr>
            <w:r>
              <w:rPr>
                <w:rFonts w:ascii="Times New Roman" w:hAnsi="Times New Roman"/>
                <w:b/>
                <w:sz w:val="20"/>
              </w:rPr>
              <w:t>Strongly Agree / Agree</w:t>
            </w:r>
          </w:p>
        </w:tc>
        <w:tc>
          <w:tcPr>
            <w:tcW w:w="1152" w:type="dxa"/>
          </w:tcPr>
          <w:p w14:paraId="59E0112B" w14:textId="77777777" w:rsidR="00A009D4" w:rsidRDefault="00000000">
            <w:pPr>
              <w:jc w:val="center"/>
            </w:pPr>
            <w:r>
              <w:rPr>
                <w:rFonts w:ascii="Times New Roman" w:hAnsi="Times New Roman"/>
                <w:b/>
                <w:sz w:val="20"/>
              </w:rPr>
              <w:t>Neutral</w:t>
            </w:r>
          </w:p>
        </w:tc>
        <w:tc>
          <w:tcPr>
            <w:tcW w:w="1152" w:type="dxa"/>
          </w:tcPr>
          <w:p w14:paraId="03FF7458" w14:textId="77777777" w:rsidR="00A009D4" w:rsidRDefault="00000000">
            <w:pPr>
              <w:jc w:val="center"/>
            </w:pPr>
            <w:r>
              <w:rPr>
                <w:rFonts w:ascii="Times New Roman" w:hAnsi="Times New Roman"/>
                <w:b/>
                <w:sz w:val="20"/>
              </w:rPr>
              <w:t>Disagree</w:t>
            </w:r>
          </w:p>
        </w:tc>
      </w:tr>
      <w:tr w:rsidR="00A009D4" w14:paraId="541703AE" w14:textId="77777777">
        <w:tc>
          <w:tcPr>
            <w:tcW w:w="4320" w:type="dxa"/>
          </w:tcPr>
          <w:p w14:paraId="12427F8A" w14:textId="77777777" w:rsidR="00A009D4" w:rsidRDefault="00000000">
            <w:r>
              <w:rPr>
                <w:rFonts w:ascii="Times New Roman" w:hAnsi="Times New Roman"/>
                <w:sz w:val="20"/>
              </w:rPr>
              <w:t>Platform helped understand personal info disclosure</w:t>
            </w:r>
          </w:p>
        </w:tc>
        <w:tc>
          <w:tcPr>
            <w:tcW w:w="2160" w:type="dxa"/>
          </w:tcPr>
          <w:p w14:paraId="1C238AE8" w14:textId="77777777" w:rsidR="00A009D4" w:rsidRDefault="00000000">
            <w:r>
              <w:rPr>
                <w:rFonts w:ascii="Times New Roman" w:hAnsi="Times New Roman"/>
                <w:sz w:val="20"/>
              </w:rPr>
              <w:t>5/5 (100%)</w:t>
            </w:r>
          </w:p>
        </w:tc>
        <w:tc>
          <w:tcPr>
            <w:tcW w:w="1152" w:type="dxa"/>
          </w:tcPr>
          <w:p w14:paraId="1A949B7C" w14:textId="77777777" w:rsidR="00A009D4" w:rsidRDefault="00000000">
            <w:r>
              <w:rPr>
                <w:rFonts w:ascii="Times New Roman" w:hAnsi="Times New Roman"/>
                <w:sz w:val="20"/>
              </w:rPr>
              <w:t>0</w:t>
            </w:r>
          </w:p>
        </w:tc>
        <w:tc>
          <w:tcPr>
            <w:tcW w:w="1152" w:type="dxa"/>
          </w:tcPr>
          <w:p w14:paraId="521D962C" w14:textId="77777777" w:rsidR="00A009D4" w:rsidRDefault="00000000">
            <w:r>
              <w:rPr>
                <w:rFonts w:ascii="Times New Roman" w:hAnsi="Times New Roman"/>
                <w:sz w:val="20"/>
              </w:rPr>
              <w:t>0</w:t>
            </w:r>
          </w:p>
        </w:tc>
      </w:tr>
      <w:tr w:rsidR="00A009D4" w14:paraId="14FF116D" w14:textId="77777777">
        <w:tc>
          <w:tcPr>
            <w:tcW w:w="4320" w:type="dxa"/>
          </w:tcPr>
          <w:p w14:paraId="11F5010E" w14:textId="77777777" w:rsidR="00A009D4" w:rsidRDefault="00000000">
            <w:r>
              <w:rPr>
                <w:rFonts w:ascii="Times New Roman" w:hAnsi="Times New Roman"/>
                <w:sz w:val="20"/>
              </w:rPr>
              <w:t>More aware of link safety</w:t>
            </w:r>
          </w:p>
        </w:tc>
        <w:tc>
          <w:tcPr>
            <w:tcW w:w="2160" w:type="dxa"/>
          </w:tcPr>
          <w:p w14:paraId="7F363D90" w14:textId="77777777" w:rsidR="00A009D4" w:rsidRDefault="00000000">
            <w:r>
              <w:rPr>
                <w:rFonts w:ascii="Times New Roman" w:hAnsi="Times New Roman"/>
                <w:sz w:val="20"/>
              </w:rPr>
              <w:t>5/5 (100%)</w:t>
            </w:r>
          </w:p>
        </w:tc>
        <w:tc>
          <w:tcPr>
            <w:tcW w:w="1152" w:type="dxa"/>
          </w:tcPr>
          <w:p w14:paraId="5EE4C874" w14:textId="77777777" w:rsidR="00A009D4" w:rsidRDefault="00000000">
            <w:r>
              <w:rPr>
                <w:rFonts w:ascii="Times New Roman" w:hAnsi="Times New Roman"/>
                <w:sz w:val="20"/>
              </w:rPr>
              <w:t>0</w:t>
            </w:r>
          </w:p>
        </w:tc>
        <w:tc>
          <w:tcPr>
            <w:tcW w:w="1152" w:type="dxa"/>
          </w:tcPr>
          <w:p w14:paraId="09EAEFD2" w14:textId="77777777" w:rsidR="00A009D4" w:rsidRDefault="00000000">
            <w:r>
              <w:rPr>
                <w:rFonts w:ascii="Times New Roman" w:hAnsi="Times New Roman"/>
                <w:sz w:val="20"/>
              </w:rPr>
              <w:t>0</w:t>
            </w:r>
          </w:p>
        </w:tc>
      </w:tr>
      <w:tr w:rsidR="00A009D4" w14:paraId="6934D429" w14:textId="77777777">
        <w:tc>
          <w:tcPr>
            <w:tcW w:w="4320" w:type="dxa"/>
          </w:tcPr>
          <w:p w14:paraId="184C36AD" w14:textId="77777777" w:rsidR="00A009D4" w:rsidRDefault="00000000">
            <w:r>
              <w:rPr>
                <w:rFonts w:ascii="Times New Roman" w:hAnsi="Times New Roman"/>
                <w:sz w:val="20"/>
              </w:rPr>
              <w:t>More likely to apply learning in real behaviour</w:t>
            </w:r>
          </w:p>
        </w:tc>
        <w:tc>
          <w:tcPr>
            <w:tcW w:w="2160" w:type="dxa"/>
          </w:tcPr>
          <w:p w14:paraId="3EDA478A" w14:textId="77777777" w:rsidR="00A009D4" w:rsidRDefault="00000000">
            <w:r>
              <w:rPr>
                <w:rFonts w:ascii="Times New Roman" w:hAnsi="Times New Roman"/>
                <w:sz w:val="20"/>
              </w:rPr>
              <w:t>4/5 (80%)</w:t>
            </w:r>
          </w:p>
        </w:tc>
        <w:tc>
          <w:tcPr>
            <w:tcW w:w="1152" w:type="dxa"/>
          </w:tcPr>
          <w:p w14:paraId="56F757EB" w14:textId="77777777" w:rsidR="00A009D4" w:rsidRDefault="00000000">
            <w:r>
              <w:rPr>
                <w:rFonts w:ascii="Times New Roman" w:hAnsi="Times New Roman"/>
                <w:sz w:val="20"/>
              </w:rPr>
              <w:t>1/5</w:t>
            </w:r>
          </w:p>
        </w:tc>
        <w:tc>
          <w:tcPr>
            <w:tcW w:w="1152" w:type="dxa"/>
          </w:tcPr>
          <w:p w14:paraId="69F4A397" w14:textId="77777777" w:rsidR="00A009D4" w:rsidRDefault="00000000">
            <w:r>
              <w:rPr>
                <w:rFonts w:ascii="Times New Roman" w:hAnsi="Times New Roman"/>
                <w:sz w:val="20"/>
              </w:rPr>
              <w:t>0</w:t>
            </w:r>
          </w:p>
        </w:tc>
      </w:tr>
      <w:tr w:rsidR="00A009D4" w14:paraId="065F67C3" w14:textId="77777777">
        <w:tc>
          <w:tcPr>
            <w:tcW w:w="4320" w:type="dxa"/>
          </w:tcPr>
          <w:p w14:paraId="2ABC0FD9" w14:textId="77777777" w:rsidR="00A009D4" w:rsidRDefault="00000000">
            <w:r>
              <w:rPr>
                <w:rFonts w:ascii="Times New Roman" w:hAnsi="Times New Roman"/>
                <w:sz w:val="20"/>
              </w:rPr>
              <w:t>Would recommend to other students</w:t>
            </w:r>
          </w:p>
        </w:tc>
        <w:tc>
          <w:tcPr>
            <w:tcW w:w="2160" w:type="dxa"/>
          </w:tcPr>
          <w:p w14:paraId="0BB8C157" w14:textId="77777777" w:rsidR="00A009D4" w:rsidRDefault="00000000">
            <w:r>
              <w:rPr>
                <w:rFonts w:ascii="Times New Roman" w:hAnsi="Times New Roman"/>
                <w:sz w:val="20"/>
              </w:rPr>
              <w:t>4/5 (80%)</w:t>
            </w:r>
          </w:p>
        </w:tc>
        <w:tc>
          <w:tcPr>
            <w:tcW w:w="1152" w:type="dxa"/>
          </w:tcPr>
          <w:p w14:paraId="49DDE159" w14:textId="77777777" w:rsidR="00A009D4" w:rsidRDefault="00000000">
            <w:r>
              <w:rPr>
                <w:rFonts w:ascii="Times New Roman" w:hAnsi="Times New Roman"/>
                <w:sz w:val="20"/>
              </w:rPr>
              <w:t>1/5 (Maybe)</w:t>
            </w:r>
          </w:p>
        </w:tc>
        <w:tc>
          <w:tcPr>
            <w:tcW w:w="1152" w:type="dxa"/>
          </w:tcPr>
          <w:p w14:paraId="601AFCC1" w14:textId="77777777" w:rsidR="00A009D4" w:rsidRDefault="00000000">
            <w:r>
              <w:rPr>
                <w:rFonts w:ascii="Times New Roman" w:hAnsi="Times New Roman"/>
                <w:sz w:val="20"/>
              </w:rPr>
              <w:t>0</w:t>
            </w:r>
          </w:p>
        </w:tc>
      </w:tr>
      <w:tr w:rsidR="00A009D4" w14:paraId="37E2F18A" w14:textId="77777777">
        <w:tc>
          <w:tcPr>
            <w:tcW w:w="4320" w:type="dxa"/>
          </w:tcPr>
          <w:p w14:paraId="151C49AE" w14:textId="77777777" w:rsidR="00A009D4" w:rsidRDefault="00000000">
            <w:r>
              <w:rPr>
                <w:rFonts w:ascii="Times New Roman" w:hAnsi="Times New Roman"/>
                <w:sz w:val="20"/>
              </w:rPr>
              <w:t>Much/Slightly more useful than traditional training</w:t>
            </w:r>
          </w:p>
        </w:tc>
        <w:tc>
          <w:tcPr>
            <w:tcW w:w="2160" w:type="dxa"/>
          </w:tcPr>
          <w:p w14:paraId="794367A2" w14:textId="77777777" w:rsidR="00A009D4" w:rsidRDefault="00000000">
            <w:r>
              <w:rPr>
                <w:rFonts w:ascii="Times New Roman" w:hAnsi="Times New Roman"/>
                <w:sz w:val="20"/>
              </w:rPr>
              <w:t>5/5 (100%)</w:t>
            </w:r>
          </w:p>
        </w:tc>
        <w:tc>
          <w:tcPr>
            <w:tcW w:w="1152" w:type="dxa"/>
          </w:tcPr>
          <w:p w14:paraId="29EBA05F" w14:textId="77777777" w:rsidR="00A009D4" w:rsidRDefault="00000000">
            <w:r>
              <w:rPr>
                <w:rFonts w:ascii="Times New Roman" w:hAnsi="Times New Roman"/>
                <w:sz w:val="20"/>
              </w:rPr>
              <w:t>0</w:t>
            </w:r>
          </w:p>
        </w:tc>
        <w:tc>
          <w:tcPr>
            <w:tcW w:w="1152" w:type="dxa"/>
          </w:tcPr>
          <w:p w14:paraId="4F74335A" w14:textId="77777777" w:rsidR="00A009D4" w:rsidRDefault="00000000">
            <w:r>
              <w:rPr>
                <w:rFonts w:ascii="Times New Roman" w:hAnsi="Times New Roman"/>
                <w:sz w:val="20"/>
              </w:rPr>
              <w:t>0</w:t>
            </w:r>
          </w:p>
        </w:tc>
      </w:tr>
      <w:tr w:rsidR="00A009D4" w14:paraId="13D970DC" w14:textId="77777777">
        <w:tc>
          <w:tcPr>
            <w:tcW w:w="4320" w:type="dxa"/>
          </w:tcPr>
          <w:p w14:paraId="18591FEA" w14:textId="77777777" w:rsidR="00A009D4" w:rsidRDefault="00000000">
            <w:r>
              <w:rPr>
                <w:rFonts w:ascii="Times New Roman" w:hAnsi="Times New Roman"/>
                <w:sz w:val="20"/>
              </w:rPr>
              <w:t>Would play similar games in future</w:t>
            </w:r>
          </w:p>
        </w:tc>
        <w:tc>
          <w:tcPr>
            <w:tcW w:w="2160" w:type="dxa"/>
          </w:tcPr>
          <w:p w14:paraId="2E2A1340" w14:textId="77777777" w:rsidR="00A009D4" w:rsidRDefault="00000000">
            <w:r>
              <w:rPr>
                <w:rFonts w:ascii="Times New Roman" w:hAnsi="Times New Roman"/>
                <w:sz w:val="20"/>
              </w:rPr>
              <w:t>4/5 (80%)</w:t>
            </w:r>
          </w:p>
        </w:tc>
        <w:tc>
          <w:tcPr>
            <w:tcW w:w="1152" w:type="dxa"/>
          </w:tcPr>
          <w:p w14:paraId="1F313D6B" w14:textId="77777777" w:rsidR="00A009D4" w:rsidRDefault="00000000">
            <w:r>
              <w:rPr>
                <w:rFonts w:ascii="Times New Roman" w:hAnsi="Times New Roman"/>
                <w:sz w:val="20"/>
              </w:rPr>
              <w:t>0</w:t>
            </w:r>
          </w:p>
        </w:tc>
        <w:tc>
          <w:tcPr>
            <w:tcW w:w="1152" w:type="dxa"/>
          </w:tcPr>
          <w:p w14:paraId="3F0DEA11" w14:textId="77777777" w:rsidR="00A009D4" w:rsidRDefault="00000000">
            <w:r>
              <w:rPr>
                <w:rFonts w:ascii="Times New Roman" w:hAnsi="Times New Roman"/>
                <w:sz w:val="20"/>
              </w:rPr>
              <w:t>0</w:t>
            </w:r>
          </w:p>
        </w:tc>
      </w:tr>
    </w:tbl>
    <w:p w14:paraId="17CB63DE" w14:textId="77777777" w:rsidR="00A009D4" w:rsidRDefault="00A009D4"/>
    <w:p w14:paraId="70C2FB1C" w14:textId="77777777" w:rsidR="00A009D4" w:rsidRDefault="00000000">
      <w:pPr>
        <w:spacing w:after="120"/>
        <w:jc w:val="both"/>
      </w:pPr>
      <w:r>
        <w:rPr>
          <w:rFonts w:ascii="Times New Roman" w:hAnsi="Times New Roman"/>
          <w:i/>
          <w:sz w:val="24"/>
        </w:rPr>
        <w:t>Table 8.3: Post-game indicator summary (n=5).</w:t>
      </w:r>
    </w:p>
    <w:p w14:paraId="03285B9C" w14:textId="77777777" w:rsidR="00A009D4" w:rsidRDefault="00000000">
      <w:pPr>
        <w:keepNext/>
        <w:spacing w:before="280" w:after="80"/>
      </w:pPr>
      <w:r>
        <w:rPr>
          <w:rFonts w:ascii="Times New Roman" w:hAnsi="Times New Roman"/>
          <w:b/>
          <w:sz w:val="24"/>
        </w:rPr>
        <w:t>8.3 Critical Discussion</w:t>
      </w:r>
    </w:p>
    <w:p w14:paraId="3E4F1BA8" w14:textId="77777777" w:rsidR="00A009D4" w:rsidRDefault="00000000">
      <w:pPr>
        <w:spacing w:after="120"/>
        <w:jc w:val="both"/>
      </w:pPr>
      <w:r>
        <w:rPr>
          <w:rFonts w:ascii="Times New Roman" w:hAnsi="Times New Roman"/>
          <w:sz w:val="24"/>
        </w:rPr>
        <w:t>The evaluation results provide meaningful evidence supporting the central hypothesis: a gamified, browser-based phishing simulation can produce measurable improvements in self-reported cybersecurity awareness within a single session. The universal agreement that InfoGuard helped participants understand personal information disclosure risks is particularly significant — this is the core threat vector (oversharing that enables targeted phishing) that the simulated social media registration journey was designed to make tangible and emotionally relevant.</w:t>
      </w:r>
    </w:p>
    <w:p w14:paraId="7BE4C768" w14:textId="77777777" w:rsidR="00A009D4" w:rsidRDefault="00000000">
      <w:pPr>
        <w:spacing w:after="120"/>
        <w:jc w:val="both"/>
      </w:pPr>
      <w:r>
        <w:rPr>
          <w:rFonts w:ascii="Times New Roman" w:hAnsi="Times New Roman"/>
          <w:sz w:val="24"/>
        </w:rPr>
        <w:t xml:space="preserve">The 80% 'much more useful than traditional training' rating aligns directly with Anderson and Martin's (2023) meta-analysis prediction of substantially higher engagement and retention for experiential gamified formats compared to passive instruction [3]. Critically, this rating was provided by students with high baseline cybersecurity knowledge — the </w:t>
      </w:r>
      <w:r>
        <w:rPr>
          <w:rFonts w:ascii="Times New Roman" w:hAnsi="Times New Roman"/>
          <w:sz w:val="24"/>
        </w:rPr>
        <w:lastRenderedPageBreak/>
        <w:t>cohort most likely to dismiss a training game as below their level. That this technically knowledgeable group rated the experiential simulation significantly above lectures and PDFs provides stronger support for the gamification hypothesis than would the same result from a non-specialist audience.</w:t>
      </w:r>
    </w:p>
    <w:p w14:paraId="12C2EDA6" w14:textId="77777777" w:rsidR="00A009D4" w:rsidRDefault="00000000">
      <w:pPr>
        <w:spacing w:after="120"/>
        <w:jc w:val="both"/>
      </w:pPr>
      <w:r>
        <w:rPr>
          <w:rFonts w:ascii="Times New Roman" w:hAnsi="Times New Roman"/>
          <w:sz w:val="24"/>
        </w:rPr>
        <w:t>Several limitations of the evaluation must be acknowledged. The sample of six participants constitutes a convenience sample from a single university cohort, limiting the generalisability of findings. All participants are cybersecurity students with above-average baseline knowledge, meaning results may not transfer directly to the non-specialist organisational audiences who represent the most vulnerable target group for real phishing attacks. The pre/post design measures self-reported awareness rather than actual behavioural change in real threat conditions, which would require longitudinal follow-up testing to assess. Finally, the evaluation was conducted in a controlled testing session context; self-directed use without facilitation may produce different engagement patterns.</w:t>
      </w:r>
    </w:p>
    <w:p w14:paraId="5B23BF5C" w14:textId="77777777" w:rsidR="00A009D4" w:rsidRDefault="00000000">
      <w:pPr>
        <w:spacing w:after="120"/>
        <w:jc w:val="both"/>
      </w:pPr>
      <w:r>
        <w:rPr>
          <w:rFonts w:ascii="Times New Roman" w:hAnsi="Times New Roman"/>
          <w:sz w:val="24"/>
        </w:rPr>
        <w:t>Despite these limitations, the results are consistent with the broader literature and provide a credible proof-of-concept evidence base. The participant responses to open-text questions confirm that the learning outcomes were not superficial: P4's interest in targeted mitigation suggestions, P5's focus on protective action steps, and P6's interest in phishing variety reflect genuine intellectual engagement with the training content rather than passive compliance completion.</w:t>
      </w:r>
    </w:p>
    <w:p w14:paraId="05712642" w14:textId="77777777" w:rsidR="00A009D4" w:rsidRDefault="00000000">
      <w:r>
        <w:br w:type="page"/>
      </w:r>
    </w:p>
    <w:p w14:paraId="60D572CA" w14:textId="77777777" w:rsidR="00A009D4" w:rsidRDefault="00000000">
      <w:pPr>
        <w:spacing w:before="360" w:after="160"/>
        <w:jc w:val="center"/>
      </w:pPr>
      <w:r>
        <w:rPr>
          <w:rFonts w:ascii="Times New Roman" w:hAnsi="Times New Roman"/>
          <w:b/>
          <w:sz w:val="28"/>
        </w:rPr>
        <w:lastRenderedPageBreak/>
        <w:t>Chapter 9: Conclusion and Future Work</w:t>
      </w:r>
    </w:p>
    <w:p w14:paraId="77A18DCA" w14:textId="77777777" w:rsidR="00A009D4" w:rsidRDefault="00000000">
      <w:pPr>
        <w:keepNext/>
        <w:spacing w:before="280" w:after="80"/>
      </w:pPr>
      <w:r>
        <w:rPr>
          <w:rFonts w:ascii="Times New Roman" w:hAnsi="Times New Roman"/>
          <w:b/>
          <w:sz w:val="24"/>
        </w:rPr>
        <w:t>9.1 Summary of Findings</w:t>
      </w:r>
    </w:p>
    <w:p w14:paraId="0BC9797E" w14:textId="77777777" w:rsidR="00A009D4" w:rsidRDefault="00000000">
      <w:pPr>
        <w:spacing w:after="120"/>
        <w:jc w:val="both"/>
      </w:pPr>
      <w:r>
        <w:rPr>
          <w:rFonts w:ascii="Times New Roman" w:hAnsi="Times New Roman"/>
          <w:sz w:val="24"/>
        </w:rPr>
        <w:t>This project has demonstrated that it is both technically feasible and educationally effective to build a gamified phishing awareness simulation using only front-end web technologies — HTML5, CSS3, and JavaScript — deployed via GitHub Pages, with no backend infrastructure, no user data collection, and no credential storage. InfoGuard presents users with ten rounds of simulated social media DM phishing scenarios in a realistic smartphone interface, provides immediate per-round educational feedback, generates statistically weighted fictional sender profiles for real-world account credibility training, and delivers a personalised performance scorecard at session end.</w:t>
      </w:r>
    </w:p>
    <w:p w14:paraId="4B469B08" w14:textId="77777777" w:rsidR="00A009D4" w:rsidRDefault="00000000">
      <w:pPr>
        <w:spacing w:after="120"/>
        <w:jc w:val="both"/>
      </w:pPr>
      <w:r>
        <w:rPr>
          <w:rFonts w:ascii="Times New Roman" w:hAnsi="Times New Roman"/>
          <w:sz w:val="24"/>
        </w:rPr>
        <w:t>Evaluation results from six consenting BSc Cybersecurity participants provide meaningful proof-of-concept support. One hundred percent of post-game respondents agreed the platform improved their understanding of personal information disclosure risks. Eighty percent rated InfoGuard as substantially more useful than traditional training methods — a finding that is particularly significant given the high baseline knowledge of the participant cohort. All five post-game respondents found the platform easy to use and said they would recommend it to others, confirming both usability and perceived educational value.</w:t>
      </w:r>
    </w:p>
    <w:p w14:paraId="6EB66DF3" w14:textId="77777777" w:rsidR="00A009D4" w:rsidRDefault="00000000">
      <w:pPr>
        <w:keepNext/>
        <w:spacing w:before="280" w:after="80"/>
      </w:pPr>
      <w:r>
        <w:rPr>
          <w:rFonts w:ascii="Times New Roman" w:hAnsi="Times New Roman"/>
          <w:b/>
          <w:sz w:val="24"/>
        </w:rPr>
        <w:t>9.2 Objectives Review</w:t>
      </w:r>
    </w:p>
    <w:p w14:paraId="67A500A1" w14:textId="77777777" w:rsidR="00A009D4" w:rsidRDefault="00000000">
      <w:pPr>
        <w:spacing w:after="120"/>
        <w:jc w:val="both"/>
      </w:pPr>
      <w:r>
        <w:rPr>
          <w:rFonts w:ascii="Times New Roman" w:hAnsi="Times New Roman"/>
          <w:sz w:val="24"/>
        </w:rPr>
        <w:t>All four project objectives were achieved:</w:t>
      </w:r>
    </w:p>
    <w:p w14:paraId="40161C58" w14:textId="77777777" w:rsidR="00A009D4" w:rsidRDefault="00000000">
      <w:pPr>
        <w:pStyle w:val="ListBullet"/>
        <w:spacing w:after="60"/>
      </w:pPr>
      <w:r>
        <w:rPr>
          <w:rFonts w:ascii="Times New Roman" w:hAnsi="Times New Roman"/>
          <w:sz w:val="24"/>
        </w:rPr>
        <w:t>O1 (Design) — Achieved: A simulation interface was designed that authentically replicates social media DM phishing contexts using a 375×812px smartphone frame, Instagram-style DM layout, dynamically generated sender profiles with statistically weighted account credentials, and a three-way classification system grounded in Cognitive Load Theory and Situated Learning principles.</w:t>
      </w:r>
    </w:p>
    <w:p w14:paraId="2B4A3F7A" w14:textId="77777777" w:rsidR="00A009D4" w:rsidRDefault="00000000">
      <w:pPr>
        <w:pStyle w:val="ListBullet"/>
        <w:spacing w:after="60"/>
      </w:pPr>
      <w:r>
        <w:rPr>
          <w:rFonts w:ascii="Times New Roman" w:hAnsi="Times New Roman"/>
          <w:sz w:val="24"/>
        </w:rPr>
        <w:t>O2 (Implementation) — Achieved: A fully functional phishing simulation was implemented in HTML5, CSS3, and JavaScript using Visual Studio Code, deployed and publicly accessible via GitHub Pages at https://ssramoss.github.io/INFOGUARD-Phishing-Simulation/.</w:t>
      </w:r>
    </w:p>
    <w:p w14:paraId="5A71E730" w14:textId="77777777" w:rsidR="00A009D4" w:rsidRDefault="00000000">
      <w:pPr>
        <w:pStyle w:val="ListBullet"/>
        <w:spacing w:after="60"/>
      </w:pPr>
      <w:r>
        <w:rPr>
          <w:rFonts w:ascii="Times New Roman" w:hAnsi="Times New Roman"/>
          <w:sz w:val="24"/>
        </w:rPr>
        <w:t>O3 (Evaluation) — Achieved: Pre- and post-game questionnaire data was collected from six consenting university participants, demonstrating measurable improvements in self-reported cybersecurity awareness across all tracked indicators.</w:t>
      </w:r>
    </w:p>
    <w:p w14:paraId="5EBEFB4C" w14:textId="77777777" w:rsidR="00A009D4" w:rsidRDefault="00000000">
      <w:pPr>
        <w:pStyle w:val="ListBullet"/>
        <w:spacing w:after="60"/>
      </w:pPr>
      <w:r>
        <w:rPr>
          <w:rFonts w:ascii="Times New Roman" w:hAnsi="Times New Roman"/>
          <w:sz w:val="24"/>
        </w:rPr>
        <w:t>O4 (Contribution) — Achieved: A nine-mechanic pedagogical design framework was developed and documented, mapping each InfoGuard game element to a specific learning science theory, providing a reusable reference for future educational game development in cybersecurity.</w:t>
      </w:r>
    </w:p>
    <w:p w14:paraId="5FBB6ACC" w14:textId="77777777" w:rsidR="00A009D4" w:rsidRDefault="00000000">
      <w:pPr>
        <w:keepNext/>
        <w:spacing w:before="280" w:after="80"/>
      </w:pPr>
      <w:r>
        <w:rPr>
          <w:rFonts w:ascii="Times New Roman" w:hAnsi="Times New Roman"/>
          <w:b/>
          <w:sz w:val="24"/>
        </w:rPr>
        <w:lastRenderedPageBreak/>
        <w:t>9.3 Future Work</w:t>
      </w:r>
    </w:p>
    <w:p w14:paraId="33FD0C4C" w14:textId="77777777" w:rsidR="00A009D4" w:rsidRDefault="00000000">
      <w:pPr>
        <w:spacing w:after="120"/>
        <w:jc w:val="both"/>
      </w:pPr>
      <w:r>
        <w:rPr>
          <w:rFonts w:ascii="Times New Roman" w:hAnsi="Times New Roman"/>
          <w:sz w:val="24"/>
        </w:rPr>
        <w:t>Several directions for future development would substantially extend InfoGuard's reach and impact. First, expanding the scenario pool beyond the current thirteen messages to include a wider variety of attack vectors — including spear phishing with personalised victim details, vishing simulation transcripts, and email header analysis tasks — would increase the platform's training breadth. Second, introducing adaptive difficulty based on user performance within a session (reducing scenario complexity for struggling users, increasing it for high scorers) would better operationalise the Pleasantly Frustrating principle and could be implemented without any backend infrastructure using browser localStorage for session-only state.</w:t>
      </w:r>
    </w:p>
    <w:p w14:paraId="0DCD8093" w14:textId="77777777" w:rsidR="00A009D4" w:rsidRDefault="00000000">
      <w:pPr>
        <w:spacing w:after="120"/>
        <w:jc w:val="both"/>
      </w:pPr>
      <w:r>
        <w:rPr>
          <w:rFonts w:ascii="Times New Roman" w:hAnsi="Times New Roman"/>
          <w:sz w:val="24"/>
        </w:rPr>
        <w:t>Third, a large-scale evaluation with a non-specialist participant population — employees from a real organisation, rather than cybersecurity students — would provide the most practically relevant evidence for InfoGuard's effectiveness in its intended deployment context. A longitudinal follow-up design measuring actual phishing click rates before and after training, rather than self-reported awareness, would provide stronger causal evidence for behavioural change. Fourth, extending the platform to include an email phishing simulation tab alongside the DM simulation would address the full breadth of common social engineering vectors in a single accessible tool.</w:t>
      </w:r>
    </w:p>
    <w:p w14:paraId="1FCA4D63" w14:textId="77777777" w:rsidR="00A009D4" w:rsidRDefault="00000000">
      <w:pPr>
        <w:spacing w:after="120"/>
        <w:jc w:val="both"/>
      </w:pPr>
      <w:r>
        <w:rPr>
          <w:rFonts w:ascii="Times New Roman" w:hAnsi="Times New Roman"/>
          <w:sz w:val="24"/>
        </w:rPr>
        <w:t>Finally, while the current front-end-only architecture is appropriate for an educational proof-of-concept, a future version targeting organisational deployment could introduce an optional anonymous session-statistics backend — recording only aggregate score distributions and round-level decision patterns, with no personal identifiers — to enable evidence-based platform improvement over time. Such a backend could be implemented with full UK GDPR compliance by collecting only pseudonymised, aggregated performance data.</w:t>
      </w:r>
    </w:p>
    <w:p w14:paraId="2F079B78" w14:textId="77777777" w:rsidR="00A009D4" w:rsidRDefault="00000000">
      <w:pPr>
        <w:spacing w:after="120"/>
        <w:jc w:val="both"/>
      </w:pPr>
      <w:r>
        <w:rPr>
          <w:rFonts w:ascii="Times New Roman" w:hAnsi="Times New Roman"/>
          <w:sz w:val="24"/>
        </w:rPr>
        <w:t>A particularly promising direction for future development is the integration of spear phishing simulation — personalised attacks that use the target's real name, organisation, or role details. Research consistently shows that spear phishing is substantially more effective than generic phishing because it exploits the authority and familiarity biases more directly [8]. A future version of InfoGuard could allow users to optionally enter a fictional persona at the start of the session, which is then incorporated into subsequent phishing scenario messages, simulating the experience of receiving a targeted attack without requiring any real personal data. This would significantly increase the emotional relevance of the training experience while remaining fully consistent with the no-data-collection architectural principle.</w:t>
      </w:r>
    </w:p>
    <w:p w14:paraId="51E40F87" w14:textId="77777777" w:rsidR="00A009D4" w:rsidRDefault="00000000">
      <w:r>
        <w:br w:type="page"/>
      </w:r>
    </w:p>
    <w:p w14:paraId="35348C14" w14:textId="77777777" w:rsidR="00A009D4" w:rsidRDefault="00000000">
      <w:pPr>
        <w:spacing w:before="360" w:after="160"/>
        <w:jc w:val="center"/>
      </w:pPr>
      <w:r>
        <w:rPr>
          <w:rFonts w:ascii="Times New Roman" w:hAnsi="Times New Roman"/>
          <w:b/>
          <w:sz w:val="28"/>
        </w:rPr>
        <w:lastRenderedPageBreak/>
        <w:t>Chapter 10: References</w:t>
      </w:r>
    </w:p>
    <w:p w14:paraId="3BEEB388" w14:textId="77777777" w:rsidR="00A009D4" w:rsidRDefault="00000000">
      <w:pPr>
        <w:spacing w:after="80"/>
        <w:jc w:val="both"/>
      </w:pPr>
      <w:r>
        <w:rPr>
          <w:rFonts w:ascii="Times New Roman" w:hAnsi="Times New Roman"/>
          <w:sz w:val="24"/>
        </w:rPr>
        <w:t>[1] Verizon, "2024 Data Breach Investigations Report," Verizon Business, 2024. [Online]. Available: https://www.verizon.com/business/resources/reports/dbir/</w:t>
      </w:r>
    </w:p>
    <w:p w14:paraId="4F6A4132" w14:textId="77777777" w:rsidR="00A009D4" w:rsidRDefault="00000000">
      <w:pPr>
        <w:spacing w:after="80"/>
        <w:jc w:val="both"/>
      </w:pPr>
      <w:r>
        <w:rPr>
          <w:rFonts w:ascii="Times New Roman" w:hAnsi="Times New Roman"/>
          <w:sz w:val="24"/>
        </w:rPr>
        <w:t>[2] National Cyber Security Centre (NCSC), "Annual Review 2024," NCSC, London, UK, 2024. [Online]. Available: https://www.ncsc.gov.uk</w:t>
      </w:r>
    </w:p>
    <w:p w14:paraId="3A53FE5F" w14:textId="77777777" w:rsidR="00A009D4" w:rsidRDefault="00000000">
      <w:pPr>
        <w:spacing w:after="80"/>
        <w:jc w:val="both"/>
      </w:pPr>
      <w:r>
        <w:rPr>
          <w:rFonts w:ascii="Times New Roman" w:hAnsi="Times New Roman"/>
          <w:sz w:val="24"/>
        </w:rPr>
        <w:t>[3] R. Anderson and T. Martin, "Gamified cybersecurity training: A meta-analysis of 23 experimental studies," Computers &amp; Security, vol. 128, pp. 103–119, 2023.</w:t>
      </w:r>
    </w:p>
    <w:p w14:paraId="435248DF" w14:textId="77777777" w:rsidR="00A009D4" w:rsidRDefault="00000000">
      <w:pPr>
        <w:spacing w:after="80"/>
        <w:jc w:val="both"/>
      </w:pPr>
      <w:r>
        <w:rPr>
          <w:rFonts w:ascii="Times New Roman" w:hAnsi="Times New Roman"/>
          <w:sz w:val="24"/>
        </w:rPr>
        <w:t>[4] J. M. Stanton, K. R. Stam, P. Mastrangelo, and J. Jolton, "Analysis of end user security behaviors," Computers &amp; Security, vol. 24, no. 2, pp. 124–133, 2005.</w:t>
      </w:r>
    </w:p>
    <w:p w14:paraId="46C25BFE" w14:textId="77777777" w:rsidR="00A009D4" w:rsidRDefault="00000000">
      <w:pPr>
        <w:spacing w:after="80"/>
        <w:jc w:val="both"/>
      </w:pPr>
      <w:r>
        <w:rPr>
          <w:rFonts w:ascii="Times New Roman" w:hAnsi="Times New Roman"/>
          <w:sz w:val="24"/>
        </w:rPr>
        <w:t>[5] S. Furnell, I. Utako, A. Phippen, and P. Warren, "Addressing the causes and consequences of security fatigue," Information Security Technical Report, vol. 23, no. 3–4, pp. 91–99, 2018.</w:t>
      </w:r>
    </w:p>
    <w:p w14:paraId="294FF5F8" w14:textId="77777777" w:rsidR="00A009D4" w:rsidRDefault="00000000">
      <w:pPr>
        <w:spacing w:after="80"/>
        <w:jc w:val="both"/>
      </w:pPr>
      <w:r>
        <w:rPr>
          <w:rFonts w:ascii="Times New Roman" w:hAnsi="Times New Roman"/>
          <w:sz w:val="24"/>
        </w:rPr>
        <w:t>[6] D. Kahneman, Thinking, Fast and Slow. New York, NY: Farrar, Straus and Giroux, 2011.</w:t>
      </w:r>
    </w:p>
    <w:p w14:paraId="7B9BE4A3" w14:textId="77777777" w:rsidR="00A009D4" w:rsidRDefault="00000000">
      <w:pPr>
        <w:spacing w:after="80"/>
        <w:jc w:val="both"/>
      </w:pPr>
      <w:r>
        <w:rPr>
          <w:rFonts w:ascii="Times New Roman" w:hAnsi="Times New Roman"/>
          <w:sz w:val="24"/>
        </w:rPr>
        <w:t>[7] A. K. Jain, B. B. Gupta, "Phishing detection: analysis of visual similarity based approaches," Security and Communication Networks, vol. 2017, Article ID 5421046, 2017.</w:t>
      </w:r>
    </w:p>
    <w:p w14:paraId="269F2E3D" w14:textId="77777777" w:rsidR="00A009D4" w:rsidRDefault="00000000">
      <w:pPr>
        <w:spacing w:after="80"/>
        <w:jc w:val="both"/>
      </w:pPr>
      <w:r>
        <w:rPr>
          <w:rFonts w:ascii="Times New Roman" w:hAnsi="Times New Roman"/>
          <w:sz w:val="24"/>
        </w:rPr>
        <w:t>[8] X. Luo, W. Zhang, S. Burd, and A. Seazzu, "Investigating phishing victimization with the Heuristic–Systematic model: A theoretical framework and an exploration," Computers &amp; Security, vol. 38, pp. 28–38, 2011.</w:t>
      </w:r>
    </w:p>
    <w:p w14:paraId="43BD98BA" w14:textId="77777777" w:rsidR="00A009D4" w:rsidRDefault="00000000">
      <w:pPr>
        <w:spacing w:after="80"/>
        <w:jc w:val="both"/>
      </w:pPr>
      <w:r>
        <w:rPr>
          <w:rFonts w:ascii="Times New Roman" w:hAnsi="Times New Roman"/>
          <w:sz w:val="24"/>
        </w:rPr>
        <w:t>[9] A. Vishwanath, T. Herath, R. Chen, J. Wang, and H. R. Rao, "Why do people get phished? Testing individual differences in phishing vulnerability within an integrated, information processing model," Decision Support Systems, vol. 51, no. 3, pp. 576–586, 2011.</w:t>
      </w:r>
    </w:p>
    <w:p w14:paraId="5B98E4BF" w14:textId="77777777" w:rsidR="00A009D4" w:rsidRDefault="00000000">
      <w:pPr>
        <w:spacing w:after="80"/>
        <w:jc w:val="both"/>
      </w:pPr>
      <w:r>
        <w:rPr>
          <w:rFonts w:ascii="Times New Roman" w:hAnsi="Times New Roman"/>
          <w:sz w:val="24"/>
        </w:rPr>
        <w:t>[10] S. Deterding, D. Dixon, R. Khaled, and L. Nacke, "From game design elements to gamefulness: Defining gamification," in Proc. 15th International Academic MindTrek Conference, Tampere, Finland, 2011, pp. 9–15.</w:t>
      </w:r>
    </w:p>
    <w:p w14:paraId="138C50AD" w14:textId="77777777" w:rsidR="00A009D4" w:rsidRDefault="00000000">
      <w:pPr>
        <w:spacing w:after="80"/>
        <w:jc w:val="both"/>
      </w:pPr>
      <w:r>
        <w:rPr>
          <w:rFonts w:ascii="Times New Roman" w:hAnsi="Times New Roman"/>
          <w:sz w:val="24"/>
        </w:rPr>
        <w:t>[11] J. P. Gee, "Good video games and good learning," Phi Kappa Phi Forum, vol. 85, no. 2, pp. 33–37, 2005.</w:t>
      </w:r>
    </w:p>
    <w:p w14:paraId="08FFB5CC" w14:textId="77777777" w:rsidR="00A009D4" w:rsidRDefault="00000000">
      <w:pPr>
        <w:spacing w:after="80"/>
        <w:jc w:val="both"/>
      </w:pPr>
      <w:r>
        <w:rPr>
          <w:rFonts w:ascii="Times New Roman" w:hAnsi="Times New Roman"/>
          <w:sz w:val="24"/>
        </w:rPr>
        <w:t>[12] E. L. Deci and R. M. Ryan, "The 'what' and 'why' of goal pursuits: Human needs and the self-determination of behavior," Psychological Inquiry, vol. 11, no. 4, pp. 227–268, 2000.</w:t>
      </w:r>
    </w:p>
    <w:p w14:paraId="54EE0862" w14:textId="77777777" w:rsidR="00A009D4" w:rsidRDefault="00000000">
      <w:pPr>
        <w:spacing w:after="80"/>
        <w:jc w:val="both"/>
      </w:pPr>
      <w:r>
        <w:rPr>
          <w:rFonts w:ascii="Times New Roman" w:hAnsi="Times New Roman"/>
          <w:sz w:val="24"/>
        </w:rPr>
        <w:t>[13] H. Ebbinghaus, Über das Gedächtnis: Untersuchungen zur experimentellen Psychologie. Leipzig: Duncker &amp; Humblot, 1885.</w:t>
      </w:r>
    </w:p>
    <w:p w14:paraId="4AC4770F" w14:textId="77777777" w:rsidR="00A009D4" w:rsidRDefault="00000000">
      <w:pPr>
        <w:spacing w:after="80"/>
        <w:jc w:val="both"/>
      </w:pPr>
      <w:r>
        <w:rPr>
          <w:rFonts w:ascii="Times New Roman" w:hAnsi="Times New Roman"/>
          <w:sz w:val="24"/>
        </w:rPr>
        <w:t>[14] K. Peffers, T. Tuunanen, M. A. Rothenberger, and S. Chatterjee, "A design science research methodology for information systems research," Journal of Management Information Systems, vol. 24, no. 3, pp. 45–77, 2007.</w:t>
      </w:r>
    </w:p>
    <w:p w14:paraId="6E186405" w14:textId="77777777" w:rsidR="00A009D4" w:rsidRDefault="00000000">
      <w:pPr>
        <w:spacing w:after="80"/>
        <w:jc w:val="both"/>
      </w:pPr>
      <w:r>
        <w:rPr>
          <w:rFonts w:ascii="Times New Roman" w:hAnsi="Times New Roman"/>
          <w:sz w:val="24"/>
        </w:rPr>
        <w:lastRenderedPageBreak/>
        <w:t>[15] J. Sweller, "Cognitive load during problem solving: Effects on learning," Cognitive Science, vol. 12, no. 2, pp. 257–285, 1988.</w:t>
      </w:r>
    </w:p>
    <w:p w14:paraId="38C21166" w14:textId="77777777" w:rsidR="00A009D4" w:rsidRDefault="00000000">
      <w:pPr>
        <w:spacing w:after="80"/>
        <w:jc w:val="both"/>
      </w:pPr>
      <w:r>
        <w:rPr>
          <w:rFonts w:ascii="Times New Roman" w:hAnsi="Times New Roman"/>
          <w:sz w:val="24"/>
        </w:rPr>
        <w:t>[16] J. Lave and E. Wenger, Situated Learning: Legitimate Peripheral Participation. Cambridge, UK: Cambridge University Press, 1991.</w:t>
      </w:r>
    </w:p>
    <w:p w14:paraId="08223A05" w14:textId="77777777" w:rsidR="00A009D4" w:rsidRDefault="00000000">
      <w:pPr>
        <w:spacing w:after="80"/>
        <w:jc w:val="both"/>
      </w:pPr>
      <w:r>
        <w:rPr>
          <w:rFonts w:ascii="Times New Roman" w:hAnsi="Times New Roman"/>
          <w:sz w:val="24"/>
        </w:rPr>
        <w:t>[17] A. Bandura, Social Learning Theory. Englewood Cliffs, NJ: Prentice Hall, 1977.</w:t>
      </w:r>
    </w:p>
    <w:p w14:paraId="24187BA1" w14:textId="77777777" w:rsidR="00A009D4" w:rsidRDefault="00000000">
      <w:pPr>
        <w:spacing w:after="80"/>
        <w:jc w:val="both"/>
      </w:pPr>
      <w:r>
        <w:rPr>
          <w:rFonts w:ascii="Times New Roman" w:hAnsi="Times New Roman"/>
          <w:sz w:val="24"/>
        </w:rPr>
        <w:t>[18] B. F. Skinner, The Behavior of Organisms: An Experimental Analysis. New York, NY: Appleton-Century-Crofts, 1938.</w:t>
      </w:r>
    </w:p>
    <w:p w14:paraId="5A4B909A" w14:textId="77777777" w:rsidR="00A009D4" w:rsidRDefault="00000000">
      <w:pPr>
        <w:spacing w:after="80"/>
        <w:jc w:val="both"/>
      </w:pPr>
      <w:r>
        <w:rPr>
          <w:rFonts w:ascii="Times New Roman" w:hAnsi="Times New Roman"/>
          <w:sz w:val="24"/>
        </w:rPr>
        <w:t>[19] J. H. Flavell, "Metacognition and cognitive monitoring: A new area of cognitive–developmental inquiry," American Psychologist, vol. 34, no. 10, pp. 906–911, 1979.</w:t>
      </w:r>
    </w:p>
    <w:p w14:paraId="1FF737DE" w14:textId="77777777" w:rsidR="00A009D4" w:rsidRDefault="00000000">
      <w:pPr>
        <w:spacing w:after="80"/>
        <w:jc w:val="both"/>
      </w:pPr>
      <w:r>
        <w:rPr>
          <w:rFonts w:ascii="Times New Roman" w:hAnsi="Times New Roman"/>
          <w:sz w:val="24"/>
        </w:rPr>
        <w:t>[20] A. R. Damasio, Descartes' Error: Emotion, Reason and the Human Brain. New York, NY: Grosset/Putnam, 1994.</w:t>
      </w:r>
    </w:p>
    <w:p w14:paraId="6A2703E8" w14:textId="77777777" w:rsidR="00A009D4" w:rsidRDefault="00000000">
      <w:pPr>
        <w:spacing w:after="80"/>
        <w:jc w:val="both"/>
      </w:pPr>
      <w:r>
        <w:rPr>
          <w:rFonts w:ascii="Times New Roman" w:hAnsi="Times New Roman"/>
          <w:sz w:val="24"/>
        </w:rPr>
        <w:t>[21] K. Chen and P. Davis, "Multi-platform educational integration in cybersecurity training: Architecture and outcomes," IEEE Transactions on Learning Technologies, vol. 17, no. 2, pp. 88–102, 2024.</w:t>
      </w:r>
    </w:p>
    <w:p w14:paraId="75CDC753" w14:textId="77777777" w:rsidR="00A009D4" w:rsidRDefault="00000000">
      <w:r>
        <w:br w:type="page"/>
      </w:r>
    </w:p>
    <w:p w14:paraId="7264B881" w14:textId="77777777" w:rsidR="00A009D4" w:rsidRDefault="00000000">
      <w:pPr>
        <w:spacing w:before="360" w:after="160"/>
        <w:jc w:val="center"/>
      </w:pPr>
      <w:r>
        <w:rPr>
          <w:rFonts w:ascii="Times New Roman" w:hAnsi="Times New Roman"/>
          <w:b/>
          <w:sz w:val="28"/>
        </w:rPr>
        <w:lastRenderedPageBreak/>
        <w:t>Appendix A: Pre-Game Questionnaire Raw Data</w:t>
      </w:r>
    </w:p>
    <w:p w14:paraId="1D0728B9" w14:textId="77777777" w:rsidR="00A009D4" w:rsidRDefault="00000000">
      <w:pPr>
        <w:spacing w:after="120"/>
        <w:jc w:val="both"/>
      </w:pPr>
      <w:r>
        <w:rPr>
          <w:rFonts w:ascii="Times New Roman" w:hAnsi="Times New Roman"/>
          <w:sz w:val="24"/>
        </w:rPr>
        <w:t>The following table presents the raw responses from the six participants who completed the pre-game questionnaire. Participant names have been replaced with identifiers P1–P6 to protect privacy. All responses were collected via Microsoft Forms between March and April 2026.</w:t>
      </w:r>
    </w:p>
    <w:tbl>
      <w:tblPr>
        <w:tblStyle w:val="TableGrid"/>
        <w:tblW w:w="0" w:type="auto"/>
        <w:tblLook w:val="04A0" w:firstRow="1" w:lastRow="0" w:firstColumn="1" w:lastColumn="0" w:noHBand="0" w:noVBand="1"/>
      </w:tblPr>
      <w:tblGrid>
        <w:gridCol w:w="490"/>
        <w:gridCol w:w="722"/>
        <w:gridCol w:w="1177"/>
        <w:gridCol w:w="1252"/>
        <w:gridCol w:w="1194"/>
        <w:gridCol w:w="1154"/>
        <w:gridCol w:w="1139"/>
        <w:gridCol w:w="1502"/>
      </w:tblGrid>
      <w:tr w:rsidR="00A009D4" w14:paraId="1EB95068" w14:textId="77777777">
        <w:tc>
          <w:tcPr>
            <w:tcW w:w="576" w:type="dxa"/>
          </w:tcPr>
          <w:p w14:paraId="36B1FE6D" w14:textId="77777777" w:rsidR="00A009D4" w:rsidRDefault="00000000">
            <w:pPr>
              <w:jc w:val="center"/>
            </w:pPr>
            <w:r>
              <w:rPr>
                <w:rFonts w:ascii="Times New Roman" w:hAnsi="Times New Roman"/>
                <w:b/>
                <w:sz w:val="20"/>
              </w:rPr>
              <w:t>ID</w:t>
            </w:r>
          </w:p>
        </w:tc>
        <w:tc>
          <w:tcPr>
            <w:tcW w:w="1008" w:type="dxa"/>
          </w:tcPr>
          <w:p w14:paraId="657A5E6F" w14:textId="77777777" w:rsidR="00A009D4" w:rsidRDefault="00000000">
            <w:pPr>
              <w:jc w:val="center"/>
            </w:pPr>
            <w:r>
              <w:rPr>
                <w:rFonts w:ascii="Times New Roman" w:hAnsi="Times New Roman"/>
                <w:b/>
                <w:sz w:val="20"/>
              </w:rPr>
              <w:t>Age</w:t>
            </w:r>
          </w:p>
        </w:tc>
        <w:tc>
          <w:tcPr>
            <w:tcW w:w="1296" w:type="dxa"/>
          </w:tcPr>
          <w:p w14:paraId="2285A311" w14:textId="77777777" w:rsidR="00A009D4" w:rsidRDefault="00000000">
            <w:pPr>
              <w:jc w:val="center"/>
            </w:pPr>
            <w:r>
              <w:rPr>
                <w:rFonts w:ascii="Times New Roman" w:hAnsi="Times New Roman"/>
                <w:b/>
                <w:sz w:val="20"/>
              </w:rPr>
              <w:t>Gaming Freq</w:t>
            </w:r>
          </w:p>
        </w:tc>
        <w:tc>
          <w:tcPr>
            <w:tcW w:w="1440" w:type="dxa"/>
          </w:tcPr>
          <w:p w14:paraId="7BCD7560" w14:textId="77777777" w:rsidR="00A009D4" w:rsidRDefault="00000000">
            <w:pPr>
              <w:jc w:val="center"/>
            </w:pPr>
            <w:r>
              <w:rPr>
                <w:rFonts w:ascii="Times New Roman" w:hAnsi="Times New Roman"/>
                <w:b/>
                <w:sz w:val="20"/>
              </w:rPr>
              <w:t>Awareness</w:t>
            </w:r>
          </w:p>
        </w:tc>
        <w:tc>
          <w:tcPr>
            <w:tcW w:w="1584" w:type="dxa"/>
          </w:tcPr>
          <w:p w14:paraId="141CD88B" w14:textId="77777777" w:rsidR="00A009D4" w:rsidRDefault="00000000">
            <w:pPr>
              <w:jc w:val="center"/>
            </w:pPr>
            <w:r>
              <w:rPr>
                <w:rFonts w:ascii="Times New Roman" w:hAnsi="Times New Roman"/>
                <w:b/>
                <w:sz w:val="20"/>
              </w:rPr>
              <w:t>Identify Phishing</w:t>
            </w:r>
          </w:p>
        </w:tc>
        <w:tc>
          <w:tcPr>
            <w:tcW w:w="1440" w:type="dxa"/>
          </w:tcPr>
          <w:p w14:paraId="31ABF8EE" w14:textId="77777777" w:rsidR="00A009D4" w:rsidRDefault="00000000">
            <w:pPr>
              <w:jc w:val="center"/>
            </w:pPr>
            <w:r>
              <w:rPr>
                <w:rFonts w:ascii="Times New Roman" w:hAnsi="Times New Roman"/>
                <w:b/>
                <w:sz w:val="20"/>
              </w:rPr>
              <w:t>Verify Websites</w:t>
            </w:r>
          </w:p>
        </w:tc>
        <w:tc>
          <w:tcPr>
            <w:tcW w:w="1584" w:type="dxa"/>
          </w:tcPr>
          <w:p w14:paraId="2D799149" w14:textId="77777777" w:rsidR="00A009D4" w:rsidRDefault="00000000">
            <w:pPr>
              <w:jc w:val="center"/>
            </w:pPr>
            <w:r>
              <w:rPr>
                <w:rFonts w:ascii="Times New Roman" w:hAnsi="Times New Roman"/>
                <w:b/>
                <w:sz w:val="20"/>
              </w:rPr>
              <w:t>Know What To Do If Clicked</w:t>
            </w:r>
          </w:p>
        </w:tc>
        <w:tc>
          <w:tcPr>
            <w:tcW w:w="2016" w:type="dxa"/>
          </w:tcPr>
          <w:p w14:paraId="2BC77AA8" w14:textId="77777777" w:rsidR="00A009D4" w:rsidRDefault="00000000">
            <w:pPr>
              <w:jc w:val="center"/>
            </w:pPr>
            <w:r>
              <w:rPr>
                <w:rFonts w:ascii="Times New Roman" w:hAnsi="Times New Roman"/>
                <w:b/>
                <w:sz w:val="20"/>
              </w:rPr>
              <w:t>Traditional Training Engaging</w:t>
            </w:r>
          </w:p>
        </w:tc>
      </w:tr>
      <w:tr w:rsidR="00A009D4" w14:paraId="71016282" w14:textId="77777777">
        <w:tc>
          <w:tcPr>
            <w:tcW w:w="576" w:type="dxa"/>
          </w:tcPr>
          <w:p w14:paraId="464E634C" w14:textId="77777777" w:rsidR="00A009D4" w:rsidRDefault="00000000">
            <w:r>
              <w:rPr>
                <w:rFonts w:ascii="Times New Roman" w:hAnsi="Times New Roman"/>
                <w:sz w:val="20"/>
              </w:rPr>
              <w:t>P1</w:t>
            </w:r>
          </w:p>
        </w:tc>
        <w:tc>
          <w:tcPr>
            <w:tcW w:w="1008" w:type="dxa"/>
          </w:tcPr>
          <w:p w14:paraId="48443952" w14:textId="77777777" w:rsidR="00A009D4" w:rsidRDefault="00000000">
            <w:r>
              <w:rPr>
                <w:rFonts w:ascii="Times New Roman" w:hAnsi="Times New Roman"/>
                <w:sz w:val="20"/>
              </w:rPr>
              <w:t>18–21</w:t>
            </w:r>
          </w:p>
        </w:tc>
        <w:tc>
          <w:tcPr>
            <w:tcW w:w="1296" w:type="dxa"/>
          </w:tcPr>
          <w:p w14:paraId="7C57C90A" w14:textId="77777777" w:rsidR="00A009D4" w:rsidRDefault="00000000">
            <w:r>
              <w:rPr>
                <w:rFonts w:ascii="Times New Roman" w:hAnsi="Times New Roman"/>
                <w:sz w:val="20"/>
              </w:rPr>
              <w:t>Rarely</w:t>
            </w:r>
          </w:p>
        </w:tc>
        <w:tc>
          <w:tcPr>
            <w:tcW w:w="1440" w:type="dxa"/>
          </w:tcPr>
          <w:p w14:paraId="4EC8850F" w14:textId="77777777" w:rsidR="00A009D4" w:rsidRDefault="00000000">
            <w:r>
              <w:rPr>
                <w:rFonts w:ascii="Times New Roman" w:hAnsi="Times New Roman"/>
                <w:sz w:val="20"/>
              </w:rPr>
              <w:t>Good</w:t>
            </w:r>
          </w:p>
        </w:tc>
        <w:tc>
          <w:tcPr>
            <w:tcW w:w="1584" w:type="dxa"/>
          </w:tcPr>
          <w:p w14:paraId="7DA5772C" w14:textId="77777777" w:rsidR="00A009D4" w:rsidRDefault="00000000">
            <w:r>
              <w:rPr>
                <w:rFonts w:ascii="Times New Roman" w:hAnsi="Times New Roman"/>
                <w:sz w:val="20"/>
              </w:rPr>
              <w:t>Strongly Agree</w:t>
            </w:r>
          </w:p>
        </w:tc>
        <w:tc>
          <w:tcPr>
            <w:tcW w:w="1440" w:type="dxa"/>
          </w:tcPr>
          <w:p w14:paraId="4FD9D44F" w14:textId="77777777" w:rsidR="00A009D4" w:rsidRDefault="00000000">
            <w:r>
              <w:rPr>
                <w:rFonts w:ascii="Times New Roman" w:hAnsi="Times New Roman"/>
                <w:sz w:val="20"/>
              </w:rPr>
              <w:t>Yes</w:t>
            </w:r>
          </w:p>
        </w:tc>
        <w:tc>
          <w:tcPr>
            <w:tcW w:w="1584" w:type="dxa"/>
          </w:tcPr>
          <w:p w14:paraId="72B2C851" w14:textId="77777777" w:rsidR="00A009D4" w:rsidRDefault="00000000">
            <w:r>
              <w:rPr>
                <w:rFonts w:ascii="Times New Roman" w:hAnsi="Times New Roman"/>
                <w:sz w:val="20"/>
              </w:rPr>
              <w:t>Yes</w:t>
            </w:r>
          </w:p>
        </w:tc>
        <w:tc>
          <w:tcPr>
            <w:tcW w:w="2016" w:type="dxa"/>
          </w:tcPr>
          <w:p w14:paraId="4FBBC1A9" w14:textId="77777777" w:rsidR="00A009D4" w:rsidRDefault="00000000">
            <w:r>
              <w:rPr>
                <w:rFonts w:ascii="Times New Roman" w:hAnsi="Times New Roman"/>
                <w:sz w:val="20"/>
              </w:rPr>
              <w:t>No</w:t>
            </w:r>
          </w:p>
        </w:tc>
      </w:tr>
      <w:tr w:rsidR="00A009D4" w14:paraId="51BB1798" w14:textId="77777777">
        <w:tc>
          <w:tcPr>
            <w:tcW w:w="576" w:type="dxa"/>
          </w:tcPr>
          <w:p w14:paraId="5D2D0791" w14:textId="77777777" w:rsidR="00A009D4" w:rsidRDefault="00000000">
            <w:r>
              <w:rPr>
                <w:rFonts w:ascii="Times New Roman" w:hAnsi="Times New Roman"/>
                <w:sz w:val="20"/>
              </w:rPr>
              <w:t>P2</w:t>
            </w:r>
          </w:p>
        </w:tc>
        <w:tc>
          <w:tcPr>
            <w:tcW w:w="1008" w:type="dxa"/>
          </w:tcPr>
          <w:p w14:paraId="238826B6" w14:textId="77777777" w:rsidR="00A009D4" w:rsidRDefault="00000000">
            <w:r>
              <w:rPr>
                <w:rFonts w:ascii="Times New Roman" w:hAnsi="Times New Roman"/>
                <w:sz w:val="20"/>
              </w:rPr>
              <w:t>24–45+</w:t>
            </w:r>
          </w:p>
        </w:tc>
        <w:tc>
          <w:tcPr>
            <w:tcW w:w="1296" w:type="dxa"/>
          </w:tcPr>
          <w:p w14:paraId="3941D036" w14:textId="77777777" w:rsidR="00A009D4" w:rsidRDefault="00000000">
            <w:r>
              <w:rPr>
                <w:rFonts w:ascii="Times New Roman" w:hAnsi="Times New Roman"/>
                <w:sz w:val="20"/>
              </w:rPr>
              <w:t>Often</w:t>
            </w:r>
          </w:p>
        </w:tc>
        <w:tc>
          <w:tcPr>
            <w:tcW w:w="1440" w:type="dxa"/>
          </w:tcPr>
          <w:p w14:paraId="2CDD7505" w14:textId="77777777" w:rsidR="00A009D4" w:rsidRDefault="00000000">
            <w:r>
              <w:rPr>
                <w:rFonts w:ascii="Times New Roman" w:hAnsi="Times New Roman"/>
                <w:sz w:val="20"/>
              </w:rPr>
              <w:t>Very Good</w:t>
            </w:r>
          </w:p>
        </w:tc>
        <w:tc>
          <w:tcPr>
            <w:tcW w:w="1584" w:type="dxa"/>
          </w:tcPr>
          <w:p w14:paraId="46DF0CA5" w14:textId="77777777" w:rsidR="00A009D4" w:rsidRDefault="00000000">
            <w:r>
              <w:rPr>
                <w:rFonts w:ascii="Times New Roman" w:hAnsi="Times New Roman"/>
                <w:sz w:val="20"/>
              </w:rPr>
              <w:t>Agree</w:t>
            </w:r>
          </w:p>
        </w:tc>
        <w:tc>
          <w:tcPr>
            <w:tcW w:w="1440" w:type="dxa"/>
          </w:tcPr>
          <w:p w14:paraId="75F4E8E2" w14:textId="77777777" w:rsidR="00A009D4" w:rsidRDefault="00000000">
            <w:r>
              <w:rPr>
                <w:rFonts w:ascii="Times New Roman" w:hAnsi="Times New Roman"/>
                <w:sz w:val="20"/>
              </w:rPr>
              <w:t>Yes</w:t>
            </w:r>
          </w:p>
        </w:tc>
        <w:tc>
          <w:tcPr>
            <w:tcW w:w="1584" w:type="dxa"/>
          </w:tcPr>
          <w:p w14:paraId="4F97293A" w14:textId="77777777" w:rsidR="00A009D4" w:rsidRDefault="00000000">
            <w:r>
              <w:rPr>
                <w:rFonts w:ascii="Times New Roman" w:hAnsi="Times New Roman"/>
                <w:sz w:val="20"/>
              </w:rPr>
              <w:t>Yes</w:t>
            </w:r>
          </w:p>
        </w:tc>
        <w:tc>
          <w:tcPr>
            <w:tcW w:w="2016" w:type="dxa"/>
          </w:tcPr>
          <w:p w14:paraId="75156B1C" w14:textId="77777777" w:rsidR="00A009D4" w:rsidRDefault="00000000">
            <w:r>
              <w:rPr>
                <w:rFonts w:ascii="Times New Roman" w:hAnsi="Times New Roman"/>
                <w:sz w:val="20"/>
              </w:rPr>
              <w:t>No</w:t>
            </w:r>
          </w:p>
        </w:tc>
      </w:tr>
      <w:tr w:rsidR="00A009D4" w14:paraId="20E3E79C" w14:textId="77777777">
        <w:tc>
          <w:tcPr>
            <w:tcW w:w="576" w:type="dxa"/>
          </w:tcPr>
          <w:p w14:paraId="1184F6F7" w14:textId="77777777" w:rsidR="00A009D4" w:rsidRDefault="00000000">
            <w:r>
              <w:rPr>
                <w:rFonts w:ascii="Times New Roman" w:hAnsi="Times New Roman"/>
                <w:sz w:val="20"/>
              </w:rPr>
              <w:t>P3</w:t>
            </w:r>
          </w:p>
        </w:tc>
        <w:tc>
          <w:tcPr>
            <w:tcW w:w="1008" w:type="dxa"/>
          </w:tcPr>
          <w:p w14:paraId="350325EB" w14:textId="77777777" w:rsidR="00A009D4" w:rsidRDefault="00000000">
            <w:r>
              <w:rPr>
                <w:rFonts w:ascii="Times New Roman" w:hAnsi="Times New Roman"/>
                <w:sz w:val="20"/>
              </w:rPr>
              <w:t>18–21</w:t>
            </w:r>
          </w:p>
        </w:tc>
        <w:tc>
          <w:tcPr>
            <w:tcW w:w="1296" w:type="dxa"/>
          </w:tcPr>
          <w:p w14:paraId="54D26716" w14:textId="77777777" w:rsidR="00A009D4" w:rsidRDefault="00000000">
            <w:r>
              <w:rPr>
                <w:rFonts w:ascii="Times New Roman" w:hAnsi="Times New Roman"/>
                <w:sz w:val="20"/>
              </w:rPr>
              <w:t>Often</w:t>
            </w:r>
          </w:p>
        </w:tc>
        <w:tc>
          <w:tcPr>
            <w:tcW w:w="1440" w:type="dxa"/>
          </w:tcPr>
          <w:p w14:paraId="26C9921B" w14:textId="77777777" w:rsidR="00A009D4" w:rsidRDefault="00000000">
            <w:r>
              <w:rPr>
                <w:rFonts w:ascii="Times New Roman" w:hAnsi="Times New Roman"/>
                <w:sz w:val="20"/>
              </w:rPr>
              <w:t>Very Good</w:t>
            </w:r>
          </w:p>
        </w:tc>
        <w:tc>
          <w:tcPr>
            <w:tcW w:w="1584" w:type="dxa"/>
          </w:tcPr>
          <w:p w14:paraId="1DF6EADB" w14:textId="77777777" w:rsidR="00A009D4" w:rsidRDefault="00000000">
            <w:r>
              <w:rPr>
                <w:rFonts w:ascii="Times New Roman" w:hAnsi="Times New Roman"/>
                <w:sz w:val="20"/>
              </w:rPr>
              <w:t>Agree</w:t>
            </w:r>
          </w:p>
        </w:tc>
        <w:tc>
          <w:tcPr>
            <w:tcW w:w="1440" w:type="dxa"/>
          </w:tcPr>
          <w:p w14:paraId="249C8D41" w14:textId="77777777" w:rsidR="00A009D4" w:rsidRDefault="00000000">
            <w:r>
              <w:rPr>
                <w:rFonts w:ascii="Times New Roman" w:hAnsi="Times New Roman"/>
                <w:sz w:val="20"/>
              </w:rPr>
              <w:t>Yes</w:t>
            </w:r>
          </w:p>
        </w:tc>
        <w:tc>
          <w:tcPr>
            <w:tcW w:w="1584" w:type="dxa"/>
          </w:tcPr>
          <w:p w14:paraId="24E3CB36" w14:textId="77777777" w:rsidR="00A009D4" w:rsidRDefault="00000000">
            <w:r>
              <w:rPr>
                <w:rFonts w:ascii="Times New Roman" w:hAnsi="Times New Roman"/>
                <w:sz w:val="20"/>
              </w:rPr>
              <w:t>Yes</w:t>
            </w:r>
          </w:p>
        </w:tc>
        <w:tc>
          <w:tcPr>
            <w:tcW w:w="2016" w:type="dxa"/>
          </w:tcPr>
          <w:p w14:paraId="51F78CDD" w14:textId="77777777" w:rsidR="00A009D4" w:rsidRDefault="00000000">
            <w:r>
              <w:rPr>
                <w:rFonts w:ascii="Times New Roman" w:hAnsi="Times New Roman"/>
                <w:sz w:val="20"/>
              </w:rPr>
              <w:t>Yes</w:t>
            </w:r>
          </w:p>
        </w:tc>
      </w:tr>
      <w:tr w:rsidR="00A009D4" w14:paraId="38CA9E34" w14:textId="77777777">
        <w:tc>
          <w:tcPr>
            <w:tcW w:w="576" w:type="dxa"/>
          </w:tcPr>
          <w:p w14:paraId="6238FFAC" w14:textId="77777777" w:rsidR="00A009D4" w:rsidRDefault="00000000">
            <w:r>
              <w:rPr>
                <w:rFonts w:ascii="Times New Roman" w:hAnsi="Times New Roman"/>
                <w:sz w:val="20"/>
              </w:rPr>
              <w:t>P4</w:t>
            </w:r>
          </w:p>
        </w:tc>
        <w:tc>
          <w:tcPr>
            <w:tcW w:w="1008" w:type="dxa"/>
          </w:tcPr>
          <w:p w14:paraId="3FB54592" w14:textId="77777777" w:rsidR="00A009D4" w:rsidRDefault="00000000">
            <w:r>
              <w:rPr>
                <w:rFonts w:ascii="Times New Roman" w:hAnsi="Times New Roman"/>
                <w:sz w:val="20"/>
              </w:rPr>
              <w:t>22–24</w:t>
            </w:r>
          </w:p>
        </w:tc>
        <w:tc>
          <w:tcPr>
            <w:tcW w:w="1296" w:type="dxa"/>
          </w:tcPr>
          <w:p w14:paraId="283AD4F2" w14:textId="77777777" w:rsidR="00A009D4" w:rsidRDefault="00000000">
            <w:r>
              <w:rPr>
                <w:rFonts w:ascii="Times New Roman" w:hAnsi="Times New Roman"/>
                <w:sz w:val="20"/>
              </w:rPr>
              <w:t>Often</w:t>
            </w:r>
          </w:p>
        </w:tc>
        <w:tc>
          <w:tcPr>
            <w:tcW w:w="1440" w:type="dxa"/>
          </w:tcPr>
          <w:p w14:paraId="740818C2" w14:textId="77777777" w:rsidR="00A009D4" w:rsidRDefault="00000000">
            <w:r>
              <w:rPr>
                <w:rFonts w:ascii="Times New Roman" w:hAnsi="Times New Roman"/>
                <w:sz w:val="20"/>
              </w:rPr>
              <w:t>Fair</w:t>
            </w:r>
          </w:p>
        </w:tc>
        <w:tc>
          <w:tcPr>
            <w:tcW w:w="1584" w:type="dxa"/>
          </w:tcPr>
          <w:p w14:paraId="75AACA4D" w14:textId="77777777" w:rsidR="00A009D4" w:rsidRDefault="00000000">
            <w:r>
              <w:rPr>
                <w:rFonts w:ascii="Times New Roman" w:hAnsi="Times New Roman"/>
                <w:sz w:val="20"/>
              </w:rPr>
              <w:t>Agree</w:t>
            </w:r>
          </w:p>
        </w:tc>
        <w:tc>
          <w:tcPr>
            <w:tcW w:w="1440" w:type="dxa"/>
          </w:tcPr>
          <w:p w14:paraId="341FE7AE" w14:textId="77777777" w:rsidR="00A009D4" w:rsidRDefault="00000000">
            <w:r>
              <w:rPr>
                <w:rFonts w:ascii="Times New Roman" w:hAnsi="Times New Roman"/>
                <w:sz w:val="20"/>
              </w:rPr>
              <w:t>Yes</w:t>
            </w:r>
          </w:p>
        </w:tc>
        <w:tc>
          <w:tcPr>
            <w:tcW w:w="1584" w:type="dxa"/>
          </w:tcPr>
          <w:p w14:paraId="4707D3DB" w14:textId="77777777" w:rsidR="00A009D4" w:rsidRDefault="00000000">
            <w:r>
              <w:rPr>
                <w:rFonts w:ascii="Times New Roman" w:hAnsi="Times New Roman"/>
                <w:sz w:val="20"/>
              </w:rPr>
              <w:t>No</w:t>
            </w:r>
          </w:p>
        </w:tc>
        <w:tc>
          <w:tcPr>
            <w:tcW w:w="2016" w:type="dxa"/>
          </w:tcPr>
          <w:p w14:paraId="125743A4" w14:textId="77777777" w:rsidR="00A009D4" w:rsidRDefault="00000000">
            <w:r>
              <w:rPr>
                <w:rFonts w:ascii="Times New Roman" w:hAnsi="Times New Roman"/>
                <w:sz w:val="20"/>
              </w:rPr>
              <w:t>Yes</w:t>
            </w:r>
          </w:p>
        </w:tc>
      </w:tr>
      <w:tr w:rsidR="00A009D4" w14:paraId="71B76A76" w14:textId="77777777">
        <w:tc>
          <w:tcPr>
            <w:tcW w:w="576" w:type="dxa"/>
          </w:tcPr>
          <w:p w14:paraId="50241080" w14:textId="77777777" w:rsidR="00A009D4" w:rsidRDefault="00000000">
            <w:r>
              <w:rPr>
                <w:rFonts w:ascii="Times New Roman" w:hAnsi="Times New Roman"/>
                <w:sz w:val="20"/>
              </w:rPr>
              <w:t>P5</w:t>
            </w:r>
          </w:p>
        </w:tc>
        <w:tc>
          <w:tcPr>
            <w:tcW w:w="1008" w:type="dxa"/>
          </w:tcPr>
          <w:p w14:paraId="1299CFA7" w14:textId="77777777" w:rsidR="00A009D4" w:rsidRDefault="00000000">
            <w:r>
              <w:rPr>
                <w:rFonts w:ascii="Times New Roman" w:hAnsi="Times New Roman"/>
                <w:sz w:val="20"/>
              </w:rPr>
              <w:t>18–21</w:t>
            </w:r>
          </w:p>
        </w:tc>
        <w:tc>
          <w:tcPr>
            <w:tcW w:w="1296" w:type="dxa"/>
          </w:tcPr>
          <w:p w14:paraId="31BFE248" w14:textId="77777777" w:rsidR="00A009D4" w:rsidRDefault="00000000">
            <w:r>
              <w:rPr>
                <w:rFonts w:ascii="Times New Roman" w:hAnsi="Times New Roman"/>
                <w:sz w:val="20"/>
              </w:rPr>
              <w:t>Sometimes</w:t>
            </w:r>
          </w:p>
        </w:tc>
        <w:tc>
          <w:tcPr>
            <w:tcW w:w="1440" w:type="dxa"/>
          </w:tcPr>
          <w:p w14:paraId="2958A8DE" w14:textId="77777777" w:rsidR="00A009D4" w:rsidRDefault="00000000">
            <w:r>
              <w:rPr>
                <w:rFonts w:ascii="Times New Roman" w:hAnsi="Times New Roman"/>
                <w:sz w:val="20"/>
              </w:rPr>
              <w:t>Good</w:t>
            </w:r>
          </w:p>
        </w:tc>
        <w:tc>
          <w:tcPr>
            <w:tcW w:w="1584" w:type="dxa"/>
          </w:tcPr>
          <w:p w14:paraId="495315C7" w14:textId="77777777" w:rsidR="00A009D4" w:rsidRDefault="00000000">
            <w:r>
              <w:rPr>
                <w:rFonts w:ascii="Times New Roman" w:hAnsi="Times New Roman"/>
                <w:sz w:val="20"/>
              </w:rPr>
              <w:t>Agree</w:t>
            </w:r>
          </w:p>
        </w:tc>
        <w:tc>
          <w:tcPr>
            <w:tcW w:w="1440" w:type="dxa"/>
          </w:tcPr>
          <w:p w14:paraId="137757ED" w14:textId="77777777" w:rsidR="00A009D4" w:rsidRDefault="00000000">
            <w:r>
              <w:rPr>
                <w:rFonts w:ascii="Times New Roman" w:hAnsi="Times New Roman"/>
                <w:sz w:val="20"/>
              </w:rPr>
              <w:t>Yes</w:t>
            </w:r>
          </w:p>
        </w:tc>
        <w:tc>
          <w:tcPr>
            <w:tcW w:w="1584" w:type="dxa"/>
          </w:tcPr>
          <w:p w14:paraId="6474D066" w14:textId="77777777" w:rsidR="00A009D4" w:rsidRDefault="00000000">
            <w:r>
              <w:rPr>
                <w:rFonts w:ascii="Times New Roman" w:hAnsi="Times New Roman"/>
                <w:sz w:val="20"/>
              </w:rPr>
              <w:t>Yes</w:t>
            </w:r>
          </w:p>
        </w:tc>
        <w:tc>
          <w:tcPr>
            <w:tcW w:w="2016" w:type="dxa"/>
          </w:tcPr>
          <w:p w14:paraId="706BC6D2" w14:textId="77777777" w:rsidR="00A009D4" w:rsidRDefault="00000000">
            <w:r>
              <w:rPr>
                <w:rFonts w:ascii="Times New Roman" w:hAnsi="Times New Roman"/>
                <w:sz w:val="20"/>
              </w:rPr>
              <w:t>Yes</w:t>
            </w:r>
          </w:p>
        </w:tc>
      </w:tr>
      <w:tr w:rsidR="00A009D4" w14:paraId="134A7C15" w14:textId="77777777">
        <w:tc>
          <w:tcPr>
            <w:tcW w:w="576" w:type="dxa"/>
          </w:tcPr>
          <w:p w14:paraId="247C1A98" w14:textId="77777777" w:rsidR="00A009D4" w:rsidRDefault="00000000">
            <w:r>
              <w:rPr>
                <w:rFonts w:ascii="Times New Roman" w:hAnsi="Times New Roman"/>
                <w:sz w:val="20"/>
              </w:rPr>
              <w:t>P6</w:t>
            </w:r>
          </w:p>
        </w:tc>
        <w:tc>
          <w:tcPr>
            <w:tcW w:w="1008" w:type="dxa"/>
          </w:tcPr>
          <w:p w14:paraId="4814F815" w14:textId="77777777" w:rsidR="00A009D4" w:rsidRDefault="00000000">
            <w:r>
              <w:rPr>
                <w:rFonts w:ascii="Times New Roman" w:hAnsi="Times New Roman"/>
                <w:sz w:val="20"/>
              </w:rPr>
              <w:t>18–21</w:t>
            </w:r>
          </w:p>
        </w:tc>
        <w:tc>
          <w:tcPr>
            <w:tcW w:w="1296" w:type="dxa"/>
          </w:tcPr>
          <w:p w14:paraId="677E26AD" w14:textId="77777777" w:rsidR="00A009D4" w:rsidRDefault="00000000">
            <w:r>
              <w:rPr>
                <w:rFonts w:ascii="Times New Roman" w:hAnsi="Times New Roman"/>
                <w:sz w:val="20"/>
              </w:rPr>
              <w:t>Very Often</w:t>
            </w:r>
          </w:p>
        </w:tc>
        <w:tc>
          <w:tcPr>
            <w:tcW w:w="1440" w:type="dxa"/>
          </w:tcPr>
          <w:p w14:paraId="6D9EAE03" w14:textId="77777777" w:rsidR="00A009D4" w:rsidRDefault="00000000">
            <w:r>
              <w:rPr>
                <w:rFonts w:ascii="Times New Roman" w:hAnsi="Times New Roman"/>
                <w:sz w:val="20"/>
              </w:rPr>
              <w:t>Excellent</w:t>
            </w:r>
          </w:p>
        </w:tc>
        <w:tc>
          <w:tcPr>
            <w:tcW w:w="1584" w:type="dxa"/>
          </w:tcPr>
          <w:p w14:paraId="7B8689E5" w14:textId="77777777" w:rsidR="00A009D4" w:rsidRDefault="00000000">
            <w:r>
              <w:rPr>
                <w:rFonts w:ascii="Times New Roman" w:hAnsi="Times New Roman"/>
                <w:sz w:val="20"/>
              </w:rPr>
              <w:t>Strongly Agree</w:t>
            </w:r>
          </w:p>
        </w:tc>
        <w:tc>
          <w:tcPr>
            <w:tcW w:w="1440" w:type="dxa"/>
          </w:tcPr>
          <w:p w14:paraId="73650A1A" w14:textId="77777777" w:rsidR="00A009D4" w:rsidRDefault="00000000">
            <w:r>
              <w:rPr>
                <w:rFonts w:ascii="Times New Roman" w:hAnsi="Times New Roman"/>
                <w:sz w:val="20"/>
              </w:rPr>
              <w:t>Yes</w:t>
            </w:r>
          </w:p>
        </w:tc>
        <w:tc>
          <w:tcPr>
            <w:tcW w:w="1584" w:type="dxa"/>
          </w:tcPr>
          <w:p w14:paraId="064187A7" w14:textId="77777777" w:rsidR="00A009D4" w:rsidRDefault="00000000">
            <w:r>
              <w:rPr>
                <w:rFonts w:ascii="Times New Roman" w:hAnsi="Times New Roman"/>
                <w:sz w:val="20"/>
              </w:rPr>
              <w:t>Yes</w:t>
            </w:r>
          </w:p>
        </w:tc>
        <w:tc>
          <w:tcPr>
            <w:tcW w:w="2016" w:type="dxa"/>
          </w:tcPr>
          <w:p w14:paraId="1AFDBD0E" w14:textId="77777777" w:rsidR="00A009D4" w:rsidRDefault="00000000">
            <w:r>
              <w:rPr>
                <w:rFonts w:ascii="Times New Roman" w:hAnsi="Times New Roman"/>
                <w:sz w:val="20"/>
              </w:rPr>
              <w:t>Yes</w:t>
            </w:r>
          </w:p>
        </w:tc>
      </w:tr>
    </w:tbl>
    <w:p w14:paraId="2B86FBBC" w14:textId="77777777" w:rsidR="00A009D4" w:rsidRDefault="00A009D4"/>
    <w:p w14:paraId="7474276C" w14:textId="77777777" w:rsidR="00A009D4" w:rsidRDefault="00000000">
      <w:r>
        <w:br w:type="page"/>
      </w:r>
    </w:p>
    <w:p w14:paraId="2719490E" w14:textId="77777777" w:rsidR="00A009D4" w:rsidRDefault="00000000">
      <w:pPr>
        <w:spacing w:before="360" w:after="160"/>
        <w:jc w:val="center"/>
      </w:pPr>
      <w:r>
        <w:rPr>
          <w:rFonts w:ascii="Times New Roman" w:hAnsi="Times New Roman"/>
          <w:b/>
          <w:sz w:val="28"/>
        </w:rPr>
        <w:lastRenderedPageBreak/>
        <w:t>Appendix B: Post-Game Questionnaire Raw Data</w:t>
      </w:r>
    </w:p>
    <w:p w14:paraId="10146A71" w14:textId="77777777" w:rsidR="00A009D4" w:rsidRDefault="00000000">
      <w:pPr>
        <w:spacing w:after="120"/>
        <w:jc w:val="both"/>
      </w:pPr>
      <w:r>
        <w:rPr>
          <w:rFonts w:ascii="Times New Roman" w:hAnsi="Times New Roman"/>
          <w:sz w:val="24"/>
        </w:rPr>
        <w:t>The following table presents post-game questionnaire responses from the five participants who completed it (April 2026).</w:t>
      </w:r>
    </w:p>
    <w:tbl>
      <w:tblPr>
        <w:tblStyle w:val="TableGrid"/>
        <w:tblW w:w="0" w:type="auto"/>
        <w:tblLook w:val="04A0" w:firstRow="1" w:lastRow="0" w:firstColumn="1" w:lastColumn="0" w:noHBand="0" w:noVBand="1"/>
      </w:tblPr>
      <w:tblGrid>
        <w:gridCol w:w="469"/>
        <w:gridCol w:w="1235"/>
        <w:gridCol w:w="1314"/>
        <w:gridCol w:w="1576"/>
        <w:gridCol w:w="1340"/>
        <w:gridCol w:w="1286"/>
        <w:gridCol w:w="1410"/>
      </w:tblGrid>
      <w:tr w:rsidR="00A009D4" w14:paraId="5DBBBEF1" w14:textId="77777777">
        <w:tc>
          <w:tcPr>
            <w:tcW w:w="576" w:type="dxa"/>
          </w:tcPr>
          <w:p w14:paraId="7A44280B" w14:textId="77777777" w:rsidR="00A009D4" w:rsidRDefault="00000000">
            <w:pPr>
              <w:jc w:val="center"/>
            </w:pPr>
            <w:r>
              <w:rPr>
                <w:rFonts w:ascii="Times New Roman" w:hAnsi="Times New Roman"/>
                <w:b/>
                <w:sz w:val="20"/>
              </w:rPr>
              <w:t>ID</w:t>
            </w:r>
          </w:p>
        </w:tc>
        <w:tc>
          <w:tcPr>
            <w:tcW w:w="1584" w:type="dxa"/>
          </w:tcPr>
          <w:p w14:paraId="23C13AA3" w14:textId="77777777" w:rsidR="00A009D4" w:rsidRDefault="00000000">
            <w:pPr>
              <w:jc w:val="center"/>
            </w:pPr>
            <w:r>
              <w:rPr>
                <w:rFonts w:ascii="Times New Roman" w:hAnsi="Times New Roman"/>
                <w:b/>
                <w:sz w:val="20"/>
              </w:rPr>
              <w:t>Post-Game Awareness</w:t>
            </w:r>
          </w:p>
        </w:tc>
        <w:tc>
          <w:tcPr>
            <w:tcW w:w="1872" w:type="dxa"/>
          </w:tcPr>
          <w:p w14:paraId="46F356CE" w14:textId="77777777" w:rsidR="00A009D4" w:rsidRDefault="00000000">
            <w:pPr>
              <w:jc w:val="center"/>
            </w:pPr>
            <w:r>
              <w:rPr>
                <w:rFonts w:ascii="Times New Roman" w:hAnsi="Times New Roman"/>
                <w:b/>
                <w:sz w:val="20"/>
              </w:rPr>
              <w:t>Confident Identifying Phishing</w:t>
            </w:r>
          </w:p>
        </w:tc>
        <w:tc>
          <w:tcPr>
            <w:tcW w:w="1872" w:type="dxa"/>
          </w:tcPr>
          <w:p w14:paraId="005603A4" w14:textId="77777777" w:rsidR="00A009D4" w:rsidRDefault="00000000">
            <w:pPr>
              <w:jc w:val="center"/>
            </w:pPr>
            <w:r>
              <w:rPr>
                <w:rFonts w:ascii="Times New Roman" w:hAnsi="Times New Roman"/>
                <w:b/>
                <w:sz w:val="20"/>
              </w:rPr>
              <w:t>Platform Improved Understanding</w:t>
            </w:r>
          </w:p>
        </w:tc>
        <w:tc>
          <w:tcPr>
            <w:tcW w:w="1872" w:type="dxa"/>
          </w:tcPr>
          <w:p w14:paraId="7ED66625" w14:textId="77777777" w:rsidR="00A009D4" w:rsidRDefault="00000000">
            <w:pPr>
              <w:jc w:val="center"/>
            </w:pPr>
            <w:r>
              <w:rPr>
                <w:rFonts w:ascii="Times New Roman" w:hAnsi="Times New Roman"/>
                <w:b/>
                <w:sz w:val="20"/>
              </w:rPr>
              <w:t>More Useful Than Traditional</w:t>
            </w:r>
          </w:p>
        </w:tc>
        <w:tc>
          <w:tcPr>
            <w:tcW w:w="1296" w:type="dxa"/>
          </w:tcPr>
          <w:p w14:paraId="021982CC" w14:textId="77777777" w:rsidR="00A009D4" w:rsidRDefault="00000000">
            <w:pPr>
              <w:jc w:val="center"/>
            </w:pPr>
            <w:r>
              <w:rPr>
                <w:rFonts w:ascii="Times New Roman" w:hAnsi="Times New Roman"/>
                <w:b/>
                <w:sz w:val="20"/>
              </w:rPr>
              <w:t>Would Recommend</w:t>
            </w:r>
          </w:p>
        </w:tc>
        <w:tc>
          <w:tcPr>
            <w:tcW w:w="1872" w:type="dxa"/>
          </w:tcPr>
          <w:p w14:paraId="27BB7672" w14:textId="77777777" w:rsidR="00A009D4" w:rsidRDefault="00000000">
            <w:pPr>
              <w:jc w:val="center"/>
            </w:pPr>
            <w:r>
              <w:rPr>
                <w:rFonts w:ascii="Times New Roman" w:hAnsi="Times New Roman"/>
                <w:b/>
                <w:sz w:val="20"/>
              </w:rPr>
              <w:t>Overall Engagement</w:t>
            </w:r>
          </w:p>
        </w:tc>
      </w:tr>
      <w:tr w:rsidR="00A009D4" w14:paraId="676BA9C6" w14:textId="77777777">
        <w:tc>
          <w:tcPr>
            <w:tcW w:w="576" w:type="dxa"/>
          </w:tcPr>
          <w:p w14:paraId="069917FE" w14:textId="77777777" w:rsidR="00A009D4" w:rsidRDefault="00000000">
            <w:r>
              <w:rPr>
                <w:rFonts w:ascii="Times New Roman" w:hAnsi="Times New Roman"/>
                <w:sz w:val="20"/>
              </w:rPr>
              <w:t>P1</w:t>
            </w:r>
          </w:p>
        </w:tc>
        <w:tc>
          <w:tcPr>
            <w:tcW w:w="1584" w:type="dxa"/>
          </w:tcPr>
          <w:p w14:paraId="3A3A2917" w14:textId="77777777" w:rsidR="00A009D4" w:rsidRDefault="00000000">
            <w:r>
              <w:rPr>
                <w:rFonts w:ascii="Times New Roman" w:hAnsi="Times New Roman"/>
                <w:sz w:val="20"/>
              </w:rPr>
              <w:t>Excellent</w:t>
            </w:r>
          </w:p>
        </w:tc>
        <w:tc>
          <w:tcPr>
            <w:tcW w:w="1872" w:type="dxa"/>
          </w:tcPr>
          <w:p w14:paraId="64472B93" w14:textId="77777777" w:rsidR="00A009D4" w:rsidRDefault="00000000">
            <w:r>
              <w:rPr>
                <w:rFonts w:ascii="Times New Roman" w:hAnsi="Times New Roman"/>
                <w:sz w:val="20"/>
              </w:rPr>
              <w:t>Strongly Agree</w:t>
            </w:r>
          </w:p>
        </w:tc>
        <w:tc>
          <w:tcPr>
            <w:tcW w:w="1872" w:type="dxa"/>
          </w:tcPr>
          <w:p w14:paraId="195F868A" w14:textId="77777777" w:rsidR="00A009D4" w:rsidRDefault="00000000">
            <w:r>
              <w:rPr>
                <w:rFonts w:ascii="Times New Roman" w:hAnsi="Times New Roman"/>
                <w:sz w:val="20"/>
              </w:rPr>
              <w:t>Strongly Agree</w:t>
            </w:r>
          </w:p>
        </w:tc>
        <w:tc>
          <w:tcPr>
            <w:tcW w:w="1872" w:type="dxa"/>
          </w:tcPr>
          <w:p w14:paraId="00B91156" w14:textId="77777777" w:rsidR="00A009D4" w:rsidRDefault="00000000">
            <w:r>
              <w:rPr>
                <w:rFonts w:ascii="Times New Roman" w:hAnsi="Times New Roman"/>
                <w:sz w:val="20"/>
              </w:rPr>
              <w:t>Much More Useful</w:t>
            </w:r>
          </w:p>
        </w:tc>
        <w:tc>
          <w:tcPr>
            <w:tcW w:w="1296" w:type="dxa"/>
          </w:tcPr>
          <w:p w14:paraId="56DAC25E" w14:textId="77777777" w:rsidR="00A009D4" w:rsidRDefault="00000000">
            <w:r>
              <w:rPr>
                <w:rFonts w:ascii="Times New Roman" w:hAnsi="Times New Roman"/>
                <w:sz w:val="20"/>
              </w:rPr>
              <w:t>Yes</w:t>
            </w:r>
          </w:p>
        </w:tc>
        <w:tc>
          <w:tcPr>
            <w:tcW w:w="1872" w:type="dxa"/>
          </w:tcPr>
          <w:p w14:paraId="215F7DD9" w14:textId="77777777" w:rsidR="00A009D4" w:rsidRDefault="00000000">
            <w:r>
              <w:rPr>
                <w:rFonts w:ascii="Times New Roman" w:hAnsi="Times New Roman"/>
                <w:sz w:val="20"/>
              </w:rPr>
              <w:t>Quite Engaging</w:t>
            </w:r>
          </w:p>
        </w:tc>
      </w:tr>
      <w:tr w:rsidR="00A009D4" w14:paraId="2F4E4E44" w14:textId="77777777">
        <w:tc>
          <w:tcPr>
            <w:tcW w:w="576" w:type="dxa"/>
          </w:tcPr>
          <w:p w14:paraId="285CF6C2" w14:textId="77777777" w:rsidR="00A009D4" w:rsidRDefault="00000000">
            <w:r>
              <w:rPr>
                <w:rFonts w:ascii="Times New Roman" w:hAnsi="Times New Roman"/>
                <w:sz w:val="20"/>
              </w:rPr>
              <w:t>P2</w:t>
            </w:r>
          </w:p>
        </w:tc>
        <w:tc>
          <w:tcPr>
            <w:tcW w:w="1584" w:type="dxa"/>
          </w:tcPr>
          <w:p w14:paraId="1173448D" w14:textId="77777777" w:rsidR="00A009D4" w:rsidRDefault="00000000">
            <w:r>
              <w:rPr>
                <w:rFonts w:ascii="Times New Roman" w:hAnsi="Times New Roman"/>
                <w:sz w:val="20"/>
              </w:rPr>
              <w:t>Very Good</w:t>
            </w:r>
          </w:p>
        </w:tc>
        <w:tc>
          <w:tcPr>
            <w:tcW w:w="1872" w:type="dxa"/>
          </w:tcPr>
          <w:p w14:paraId="0E19810F" w14:textId="77777777" w:rsidR="00A009D4" w:rsidRDefault="00000000">
            <w:r>
              <w:rPr>
                <w:rFonts w:ascii="Times New Roman" w:hAnsi="Times New Roman"/>
                <w:sz w:val="20"/>
              </w:rPr>
              <w:t>Strongly Agree</w:t>
            </w:r>
          </w:p>
        </w:tc>
        <w:tc>
          <w:tcPr>
            <w:tcW w:w="1872" w:type="dxa"/>
          </w:tcPr>
          <w:p w14:paraId="0378D9E5" w14:textId="77777777" w:rsidR="00A009D4" w:rsidRDefault="00000000">
            <w:r>
              <w:rPr>
                <w:rFonts w:ascii="Times New Roman" w:hAnsi="Times New Roman"/>
                <w:sz w:val="20"/>
              </w:rPr>
              <w:t>Strongly Agree</w:t>
            </w:r>
          </w:p>
        </w:tc>
        <w:tc>
          <w:tcPr>
            <w:tcW w:w="1872" w:type="dxa"/>
          </w:tcPr>
          <w:p w14:paraId="4E4BD792" w14:textId="77777777" w:rsidR="00A009D4" w:rsidRDefault="00000000">
            <w:r>
              <w:rPr>
                <w:rFonts w:ascii="Times New Roman" w:hAnsi="Times New Roman"/>
                <w:sz w:val="20"/>
              </w:rPr>
              <w:t>Much More Useful</w:t>
            </w:r>
          </w:p>
        </w:tc>
        <w:tc>
          <w:tcPr>
            <w:tcW w:w="1296" w:type="dxa"/>
          </w:tcPr>
          <w:p w14:paraId="4E99CA6A" w14:textId="77777777" w:rsidR="00A009D4" w:rsidRDefault="00000000">
            <w:r>
              <w:rPr>
                <w:rFonts w:ascii="Times New Roman" w:hAnsi="Times New Roman"/>
                <w:sz w:val="20"/>
              </w:rPr>
              <w:t>Yes</w:t>
            </w:r>
          </w:p>
        </w:tc>
        <w:tc>
          <w:tcPr>
            <w:tcW w:w="1872" w:type="dxa"/>
          </w:tcPr>
          <w:p w14:paraId="7CF71E32" w14:textId="77777777" w:rsidR="00A009D4" w:rsidRDefault="00000000">
            <w:r>
              <w:rPr>
                <w:rFonts w:ascii="Times New Roman" w:hAnsi="Times New Roman"/>
                <w:sz w:val="20"/>
              </w:rPr>
              <w:t>Quite Engaging</w:t>
            </w:r>
          </w:p>
        </w:tc>
      </w:tr>
      <w:tr w:rsidR="00A009D4" w14:paraId="0D493C8E" w14:textId="77777777">
        <w:tc>
          <w:tcPr>
            <w:tcW w:w="576" w:type="dxa"/>
          </w:tcPr>
          <w:p w14:paraId="6A1D41F8" w14:textId="77777777" w:rsidR="00A009D4" w:rsidRDefault="00000000">
            <w:r>
              <w:rPr>
                <w:rFonts w:ascii="Times New Roman" w:hAnsi="Times New Roman"/>
                <w:sz w:val="20"/>
              </w:rPr>
              <w:t>P3</w:t>
            </w:r>
          </w:p>
        </w:tc>
        <w:tc>
          <w:tcPr>
            <w:tcW w:w="1584" w:type="dxa"/>
          </w:tcPr>
          <w:p w14:paraId="7F78BAEE" w14:textId="77777777" w:rsidR="00A009D4" w:rsidRDefault="00000000">
            <w:r>
              <w:rPr>
                <w:rFonts w:ascii="Times New Roman" w:hAnsi="Times New Roman"/>
                <w:sz w:val="20"/>
              </w:rPr>
              <w:t>Very Good</w:t>
            </w:r>
          </w:p>
        </w:tc>
        <w:tc>
          <w:tcPr>
            <w:tcW w:w="1872" w:type="dxa"/>
          </w:tcPr>
          <w:p w14:paraId="55A8359E" w14:textId="77777777" w:rsidR="00A009D4" w:rsidRDefault="00000000">
            <w:r>
              <w:rPr>
                <w:rFonts w:ascii="Times New Roman" w:hAnsi="Times New Roman"/>
                <w:sz w:val="20"/>
              </w:rPr>
              <w:t>Agree</w:t>
            </w:r>
          </w:p>
        </w:tc>
        <w:tc>
          <w:tcPr>
            <w:tcW w:w="1872" w:type="dxa"/>
          </w:tcPr>
          <w:p w14:paraId="311DE3AA" w14:textId="77777777" w:rsidR="00A009D4" w:rsidRDefault="00000000">
            <w:r>
              <w:rPr>
                <w:rFonts w:ascii="Times New Roman" w:hAnsi="Times New Roman"/>
                <w:sz w:val="20"/>
              </w:rPr>
              <w:t>Strongly Agree</w:t>
            </w:r>
          </w:p>
        </w:tc>
        <w:tc>
          <w:tcPr>
            <w:tcW w:w="1872" w:type="dxa"/>
          </w:tcPr>
          <w:p w14:paraId="62B3AE7F" w14:textId="77777777" w:rsidR="00A009D4" w:rsidRDefault="00000000">
            <w:r>
              <w:rPr>
                <w:rFonts w:ascii="Times New Roman" w:hAnsi="Times New Roman"/>
                <w:sz w:val="20"/>
              </w:rPr>
              <w:t>Much More Useful</w:t>
            </w:r>
          </w:p>
        </w:tc>
        <w:tc>
          <w:tcPr>
            <w:tcW w:w="1296" w:type="dxa"/>
          </w:tcPr>
          <w:p w14:paraId="223A31C1" w14:textId="77777777" w:rsidR="00A009D4" w:rsidRDefault="00000000">
            <w:r>
              <w:rPr>
                <w:rFonts w:ascii="Times New Roman" w:hAnsi="Times New Roman"/>
                <w:sz w:val="20"/>
              </w:rPr>
              <w:t>Yes</w:t>
            </w:r>
          </w:p>
        </w:tc>
        <w:tc>
          <w:tcPr>
            <w:tcW w:w="1872" w:type="dxa"/>
          </w:tcPr>
          <w:p w14:paraId="2D937701" w14:textId="77777777" w:rsidR="00A009D4" w:rsidRDefault="00000000">
            <w:r>
              <w:rPr>
                <w:rFonts w:ascii="Times New Roman" w:hAnsi="Times New Roman"/>
                <w:sz w:val="20"/>
              </w:rPr>
              <w:t>Very Engaging</w:t>
            </w:r>
          </w:p>
        </w:tc>
      </w:tr>
      <w:tr w:rsidR="00A009D4" w14:paraId="2AABE85C" w14:textId="77777777">
        <w:tc>
          <w:tcPr>
            <w:tcW w:w="576" w:type="dxa"/>
          </w:tcPr>
          <w:p w14:paraId="4DA4C93C" w14:textId="77777777" w:rsidR="00A009D4" w:rsidRDefault="00000000">
            <w:r>
              <w:rPr>
                <w:rFonts w:ascii="Times New Roman" w:hAnsi="Times New Roman"/>
                <w:sz w:val="20"/>
              </w:rPr>
              <w:t>P5</w:t>
            </w:r>
          </w:p>
        </w:tc>
        <w:tc>
          <w:tcPr>
            <w:tcW w:w="1584" w:type="dxa"/>
          </w:tcPr>
          <w:p w14:paraId="45C8DEBC" w14:textId="77777777" w:rsidR="00A009D4" w:rsidRDefault="00000000">
            <w:r>
              <w:rPr>
                <w:rFonts w:ascii="Times New Roman" w:hAnsi="Times New Roman"/>
                <w:sz w:val="20"/>
              </w:rPr>
              <w:t>Very Good</w:t>
            </w:r>
          </w:p>
        </w:tc>
        <w:tc>
          <w:tcPr>
            <w:tcW w:w="1872" w:type="dxa"/>
          </w:tcPr>
          <w:p w14:paraId="4615A744" w14:textId="77777777" w:rsidR="00A009D4" w:rsidRDefault="00000000">
            <w:r>
              <w:rPr>
                <w:rFonts w:ascii="Times New Roman" w:hAnsi="Times New Roman"/>
                <w:sz w:val="20"/>
              </w:rPr>
              <w:t>Agree</w:t>
            </w:r>
          </w:p>
        </w:tc>
        <w:tc>
          <w:tcPr>
            <w:tcW w:w="1872" w:type="dxa"/>
          </w:tcPr>
          <w:p w14:paraId="47BEB4CB" w14:textId="77777777" w:rsidR="00A009D4" w:rsidRDefault="00000000">
            <w:r>
              <w:rPr>
                <w:rFonts w:ascii="Times New Roman" w:hAnsi="Times New Roman"/>
                <w:sz w:val="20"/>
              </w:rPr>
              <w:t>Strongly Agree</w:t>
            </w:r>
          </w:p>
        </w:tc>
        <w:tc>
          <w:tcPr>
            <w:tcW w:w="1872" w:type="dxa"/>
          </w:tcPr>
          <w:p w14:paraId="7A2AA875" w14:textId="77777777" w:rsidR="00A009D4" w:rsidRDefault="00000000">
            <w:r>
              <w:rPr>
                <w:rFonts w:ascii="Times New Roman" w:hAnsi="Times New Roman"/>
                <w:sz w:val="20"/>
              </w:rPr>
              <w:t>Much More Useful</w:t>
            </w:r>
          </w:p>
        </w:tc>
        <w:tc>
          <w:tcPr>
            <w:tcW w:w="1296" w:type="dxa"/>
          </w:tcPr>
          <w:p w14:paraId="518D931A" w14:textId="77777777" w:rsidR="00A009D4" w:rsidRDefault="00000000">
            <w:r>
              <w:rPr>
                <w:rFonts w:ascii="Times New Roman" w:hAnsi="Times New Roman"/>
                <w:sz w:val="20"/>
              </w:rPr>
              <w:t>Maybe</w:t>
            </w:r>
          </w:p>
        </w:tc>
        <w:tc>
          <w:tcPr>
            <w:tcW w:w="1872" w:type="dxa"/>
          </w:tcPr>
          <w:p w14:paraId="3F513D5D" w14:textId="77777777" w:rsidR="00A009D4" w:rsidRDefault="00000000">
            <w:r>
              <w:rPr>
                <w:rFonts w:ascii="Times New Roman" w:hAnsi="Times New Roman"/>
                <w:sz w:val="20"/>
              </w:rPr>
              <w:t>Neutral</w:t>
            </w:r>
          </w:p>
        </w:tc>
      </w:tr>
      <w:tr w:rsidR="00A009D4" w14:paraId="08CE60C0" w14:textId="77777777">
        <w:tc>
          <w:tcPr>
            <w:tcW w:w="576" w:type="dxa"/>
          </w:tcPr>
          <w:p w14:paraId="1FFDE784" w14:textId="77777777" w:rsidR="00A009D4" w:rsidRDefault="00000000">
            <w:r>
              <w:rPr>
                <w:rFonts w:ascii="Times New Roman" w:hAnsi="Times New Roman"/>
                <w:sz w:val="20"/>
              </w:rPr>
              <w:t>P6</w:t>
            </w:r>
          </w:p>
        </w:tc>
        <w:tc>
          <w:tcPr>
            <w:tcW w:w="1584" w:type="dxa"/>
          </w:tcPr>
          <w:p w14:paraId="6AA7817A" w14:textId="77777777" w:rsidR="00A009D4" w:rsidRDefault="00000000">
            <w:r>
              <w:rPr>
                <w:rFonts w:ascii="Times New Roman" w:hAnsi="Times New Roman"/>
                <w:sz w:val="20"/>
              </w:rPr>
              <w:t>Excellent</w:t>
            </w:r>
          </w:p>
        </w:tc>
        <w:tc>
          <w:tcPr>
            <w:tcW w:w="1872" w:type="dxa"/>
          </w:tcPr>
          <w:p w14:paraId="371F0CF2" w14:textId="77777777" w:rsidR="00A009D4" w:rsidRDefault="00000000">
            <w:r>
              <w:rPr>
                <w:rFonts w:ascii="Times New Roman" w:hAnsi="Times New Roman"/>
                <w:sz w:val="20"/>
              </w:rPr>
              <w:t>Strongly Agree</w:t>
            </w:r>
          </w:p>
        </w:tc>
        <w:tc>
          <w:tcPr>
            <w:tcW w:w="1872" w:type="dxa"/>
          </w:tcPr>
          <w:p w14:paraId="3D4081C5" w14:textId="77777777" w:rsidR="00A009D4" w:rsidRDefault="00000000">
            <w:r>
              <w:rPr>
                <w:rFonts w:ascii="Times New Roman" w:hAnsi="Times New Roman"/>
                <w:sz w:val="20"/>
              </w:rPr>
              <w:t>Strongly Agree</w:t>
            </w:r>
          </w:p>
        </w:tc>
        <w:tc>
          <w:tcPr>
            <w:tcW w:w="1872" w:type="dxa"/>
          </w:tcPr>
          <w:p w14:paraId="6EBF44F2" w14:textId="77777777" w:rsidR="00A009D4" w:rsidRDefault="00000000">
            <w:r>
              <w:rPr>
                <w:rFonts w:ascii="Times New Roman" w:hAnsi="Times New Roman"/>
                <w:sz w:val="20"/>
              </w:rPr>
              <w:t>Slightly More Useful</w:t>
            </w:r>
          </w:p>
        </w:tc>
        <w:tc>
          <w:tcPr>
            <w:tcW w:w="1296" w:type="dxa"/>
          </w:tcPr>
          <w:p w14:paraId="3AC4E4B6" w14:textId="77777777" w:rsidR="00A009D4" w:rsidRDefault="00000000">
            <w:r>
              <w:rPr>
                <w:rFonts w:ascii="Times New Roman" w:hAnsi="Times New Roman"/>
                <w:sz w:val="20"/>
              </w:rPr>
              <w:t>Yes</w:t>
            </w:r>
          </w:p>
        </w:tc>
        <w:tc>
          <w:tcPr>
            <w:tcW w:w="1872" w:type="dxa"/>
          </w:tcPr>
          <w:p w14:paraId="2E86EA11" w14:textId="77777777" w:rsidR="00A009D4" w:rsidRDefault="00000000">
            <w:r>
              <w:rPr>
                <w:rFonts w:ascii="Times New Roman" w:hAnsi="Times New Roman"/>
                <w:sz w:val="20"/>
              </w:rPr>
              <w:t>Very Engaging</w:t>
            </w:r>
          </w:p>
        </w:tc>
      </w:tr>
    </w:tbl>
    <w:p w14:paraId="70625FAB" w14:textId="77777777" w:rsidR="00A009D4" w:rsidRDefault="00A009D4"/>
    <w:p w14:paraId="08FD0CA0" w14:textId="77777777" w:rsidR="00A009D4" w:rsidRDefault="00000000">
      <w:r>
        <w:br w:type="page"/>
      </w:r>
    </w:p>
    <w:p w14:paraId="6EDA0002" w14:textId="77777777" w:rsidR="00A009D4" w:rsidRDefault="00000000">
      <w:pPr>
        <w:spacing w:before="360" w:after="160"/>
        <w:jc w:val="center"/>
      </w:pPr>
      <w:r>
        <w:rPr>
          <w:rFonts w:ascii="Times New Roman" w:hAnsi="Times New Roman"/>
          <w:b/>
          <w:sz w:val="28"/>
        </w:rPr>
        <w:lastRenderedPageBreak/>
        <w:t>Appendix C: Health and Safety Risk Assessment</w:t>
      </w:r>
    </w:p>
    <w:p w14:paraId="3C3F3B2C" w14:textId="77777777" w:rsidR="00A009D4" w:rsidRDefault="00000000">
      <w:pPr>
        <w:spacing w:after="120"/>
        <w:jc w:val="both"/>
      </w:pPr>
      <w:r>
        <w:rPr>
          <w:rFonts w:ascii="Times New Roman" w:hAnsi="Times New Roman"/>
          <w:sz w:val="24"/>
        </w:rPr>
        <w:t>A Health and Safety Risk Assessment was completed prior to participant engagement, in accordance with the University of Staffordshire research ethics requirements. The assessment identified the following risks and mitigations:</w:t>
      </w:r>
    </w:p>
    <w:p w14:paraId="60CDD6EE" w14:textId="77777777" w:rsidR="00A009D4" w:rsidRDefault="00000000">
      <w:pPr>
        <w:spacing w:after="120"/>
        <w:jc w:val="both"/>
      </w:pPr>
      <w:r>
        <w:rPr>
          <w:rFonts w:ascii="Times New Roman" w:hAnsi="Times New Roman"/>
          <w:sz w:val="24"/>
        </w:rPr>
        <w:t>Risk 1 — Participant data exposure: Mitigated by the platform's front-end-only architecture which collects, transmits, and stores no data whatsoever. Residual risk: Negligible.</w:t>
      </w:r>
    </w:p>
    <w:p w14:paraId="53BB6165" w14:textId="77777777" w:rsidR="00A009D4" w:rsidRDefault="00000000">
      <w:pPr>
        <w:spacing w:after="120"/>
        <w:jc w:val="both"/>
      </w:pPr>
      <w:r>
        <w:rPr>
          <w:rFonts w:ascii="Times New Roman" w:hAnsi="Times New Roman"/>
          <w:sz w:val="24"/>
        </w:rPr>
        <w:t>Risk 2 — Psychological distress from phishing simulation content: Mitigated by the clearly labelled educational framing of all content and the voluntary nature of participation. Participants were aware at all times that they were engaging with a training simulation. Residual risk: Very low.</w:t>
      </w:r>
    </w:p>
    <w:p w14:paraId="56943FF9" w14:textId="77777777" w:rsidR="00A009D4" w:rsidRDefault="00000000">
      <w:pPr>
        <w:spacing w:after="120"/>
        <w:jc w:val="both"/>
      </w:pPr>
      <w:r>
        <w:rPr>
          <w:rFonts w:ascii="Times New Roman" w:hAnsi="Times New Roman"/>
          <w:sz w:val="24"/>
        </w:rPr>
        <w:t>Risk 3 — Eye strain from extended screen use: Mitigated by self-paced session design averaging 7–10 minutes. Residual risk: Negligible.</w:t>
      </w:r>
    </w:p>
    <w:p w14:paraId="10671CF6" w14:textId="77777777" w:rsidR="00A009D4" w:rsidRDefault="00000000">
      <w:pPr>
        <w:spacing w:after="120"/>
        <w:jc w:val="both"/>
      </w:pPr>
      <w:r>
        <w:rPr>
          <w:rFonts w:ascii="Times New Roman" w:hAnsi="Times New Roman"/>
          <w:sz w:val="24"/>
        </w:rPr>
        <w:t>Overall risk assessment: Low. The project received approval to proceed with participant engagement prior to testing sessions.</w:t>
      </w:r>
    </w:p>
    <w:p w14:paraId="283BB32B" w14:textId="77777777" w:rsidR="008D4AB4" w:rsidRDefault="008D4AB4">
      <w:r>
        <w:rPr>
          <w:noProof/>
        </w:rPr>
        <w:drawing>
          <wp:inline distT="0" distB="0" distL="0" distR="0" wp14:anchorId="7D61537E" wp14:editId="52261902">
            <wp:extent cx="5407660" cy="3432175"/>
            <wp:effectExtent l="0" t="0" r="2540" b="0"/>
            <wp:docPr id="9525951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7660" cy="3432175"/>
                    </a:xfrm>
                    <a:prstGeom prst="rect">
                      <a:avLst/>
                    </a:prstGeom>
                    <a:noFill/>
                  </pic:spPr>
                </pic:pic>
              </a:graphicData>
            </a:graphic>
          </wp:inline>
        </w:drawing>
      </w:r>
    </w:p>
    <w:p w14:paraId="5ECEB340" w14:textId="33AD4FCE" w:rsidR="00A009D4" w:rsidRDefault="008D4AB4">
      <w:r>
        <w:rPr>
          <w:noProof/>
        </w:rPr>
        <w:lastRenderedPageBreak/>
        <w:drawing>
          <wp:inline distT="0" distB="0" distL="0" distR="0" wp14:anchorId="7FA021BF" wp14:editId="2002FA5D">
            <wp:extent cx="6193790" cy="2158365"/>
            <wp:effectExtent l="0" t="0" r="0" b="0"/>
            <wp:docPr id="20274080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3790" cy="2158365"/>
                    </a:xfrm>
                    <a:prstGeom prst="rect">
                      <a:avLst/>
                    </a:prstGeom>
                    <a:noFill/>
                  </pic:spPr>
                </pic:pic>
              </a:graphicData>
            </a:graphic>
          </wp:inline>
        </w:drawing>
      </w:r>
      <w:r w:rsidR="00000000">
        <w:br w:type="page"/>
      </w:r>
      <w:r>
        <w:rPr>
          <w:noProof/>
        </w:rPr>
        <w:lastRenderedPageBreak/>
        <w:drawing>
          <wp:inline distT="0" distB="0" distL="0" distR="0" wp14:anchorId="04551212" wp14:editId="376B8A81">
            <wp:extent cx="4627245" cy="5182235"/>
            <wp:effectExtent l="0" t="0" r="1905" b="0"/>
            <wp:docPr id="5115498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27245" cy="5182235"/>
                    </a:xfrm>
                    <a:prstGeom prst="rect">
                      <a:avLst/>
                    </a:prstGeom>
                    <a:noFill/>
                  </pic:spPr>
                </pic:pic>
              </a:graphicData>
            </a:graphic>
          </wp:inline>
        </w:drawing>
      </w:r>
    </w:p>
    <w:p w14:paraId="6C7CD783" w14:textId="112102EC" w:rsidR="008D4AB4" w:rsidRDefault="008D4AB4">
      <w:r>
        <w:rPr>
          <w:noProof/>
        </w:rPr>
        <w:lastRenderedPageBreak/>
        <w:drawing>
          <wp:inline distT="0" distB="0" distL="0" distR="0" wp14:anchorId="613A4D4F" wp14:editId="2DCC4933">
            <wp:extent cx="4261485" cy="3096895"/>
            <wp:effectExtent l="0" t="0" r="5715" b="8255"/>
            <wp:docPr id="6197537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1485" cy="3096895"/>
                    </a:xfrm>
                    <a:prstGeom prst="rect">
                      <a:avLst/>
                    </a:prstGeom>
                    <a:noFill/>
                  </pic:spPr>
                </pic:pic>
              </a:graphicData>
            </a:graphic>
          </wp:inline>
        </w:drawing>
      </w:r>
    </w:p>
    <w:p w14:paraId="40236377" w14:textId="26F3E09E" w:rsidR="008D4AB4" w:rsidRDefault="008D4AB4">
      <w:r>
        <w:rPr>
          <w:noProof/>
        </w:rPr>
        <w:drawing>
          <wp:inline distT="0" distB="0" distL="0" distR="0" wp14:anchorId="5B065E1C" wp14:editId="20639265">
            <wp:extent cx="4468495" cy="2658110"/>
            <wp:effectExtent l="0" t="0" r="8255" b="8890"/>
            <wp:docPr id="154709368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68495" cy="2658110"/>
                    </a:xfrm>
                    <a:prstGeom prst="rect">
                      <a:avLst/>
                    </a:prstGeom>
                    <a:noFill/>
                  </pic:spPr>
                </pic:pic>
              </a:graphicData>
            </a:graphic>
          </wp:inline>
        </w:drawing>
      </w:r>
    </w:p>
    <w:p w14:paraId="6BB81C55" w14:textId="71F13A0E" w:rsidR="008D4AB4" w:rsidRDefault="008D4AB4">
      <w:r>
        <w:rPr>
          <w:noProof/>
        </w:rPr>
        <w:lastRenderedPageBreak/>
        <w:drawing>
          <wp:inline distT="0" distB="0" distL="0" distR="0" wp14:anchorId="0501E90F" wp14:editId="0A1C1228">
            <wp:extent cx="7078345" cy="3432175"/>
            <wp:effectExtent l="0" t="0" r="8255" b="0"/>
            <wp:docPr id="8910213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78345" cy="3432175"/>
                    </a:xfrm>
                    <a:prstGeom prst="rect">
                      <a:avLst/>
                    </a:prstGeom>
                    <a:noFill/>
                  </pic:spPr>
                </pic:pic>
              </a:graphicData>
            </a:graphic>
          </wp:inline>
        </w:drawing>
      </w:r>
    </w:p>
    <w:p w14:paraId="3ABF8CB2" w14:textId="77777777" w:rsidR="00A009D4" w:rsidRDefault="00000000">
      <w:pPr>
        <w:spacing w:before="360" w:after="160"/>
        <w:jc w:val="center"/>
      </w:pPr>
      <w:r>
        <w:rPr>
          <w:rFonts w:ascii="Times New Roman" w:hAnsi="Times New Roman"/>
          <w:b/>
          <w:sz w:val="28"/>
        </w:rPr>
        <w:t>Appendix D: Participant Consent and Data Handling Note</w:t>
      </w:r>
    </w:p>
    <w:p w14:paraId="61855876" w14:textId="77777777" w:rsidR="00A009D4" w:rsidRDefault="00000000">
      <w:pPr>
        <w:spacing w:after="120"/>
        <w:jc w:val="both"/>
      </w:pPr>
      <w:r>
        <w:rPr>
          <w:rFonts w:ascii="Times New Roman" w:hAnsi="Times New Roman"/>
          <w:sz w:val="24"/>
        </w:rPr>
        <w:t>This appendix provides a note on participant consent and data handling for this project. All participants completed Microsoft Forms questionnaires voluntarily during scheduled university testing sessions. Participation implied consent for the questionnaire responses to be used in this academic project.</w:t>
      </w:r>
    </w:p>
    <w:p w14:paraId="539F91DD" w14:textId="77777777" w:rsidR="00A009D4" w:rsidRDefault="00000000">
      <w:pPr>
        <w:spacing w:after="120"/>
        <w:jc w:val="both"/>
      </w:pPr>
      <w:r>
        <w:rPr>
          <w:rFonts w:ascii="Times New Roman" w:hAnsi="Times New Roman"/>
          <w:sz w:val="24"/>
        </w:rPr>
        <w:t>InfoGuard itself collects no user data of any kind — no credentials, no personal information, no session logs, and no analytics are transmitted or stored at any point during platform use. Questionnaire responses are used solely for this academic project. In this report, all participants are identified as P1–P6 only.</w:t>
      </w:r>
    </w:p>
    <w:p w14:paraId="2BABB3D0" w14:textId="77777777" w:rsidR="00A009D4" w:rsidRDefault="00000000">
      <w:r>
        <w:br w:type="page"/>
      </w:r>
    </w:p>
    <w:p w14:paraId="751DF4F2" w14:textId="77777777" w:rsidR="00A009D4" w:rsidRDefault="00000000">
      <w:pPr>
        <w:spacing w:before="360" w:after="160"/>
        <w:jc w:val="center"/>
      </w:pPr>
      <w:r>
        <w:rPr>
          <w:rFonts w:ascii="Times New Roman" w:hAnsi="Times New Roman"/>
          <w:b/>
          <w:sz w:val="28"/>
        </w:rPr>
        <w:lastRenderedPageBreak/>
        <w:t>Appendix E: Full Game Source Code</w:t>
      </w:r>
    </w:p>
    <w:p w14:paraId="194AE592" w14:textId="77777777" w:rsidR="00A009D4" w:rsidRDefault="00000000">
      <w:pPr>
        <w:spacing w:after="120"/>
        <w:jc w:val="both"/>
      </w:pPr>
      <w:r>
        <w:rPr>
          <w:rFonts w:ascii="Times New Roman" w:hAnsi="Times New Roman"/>
          <w:sz w:val="24"/>
        </w:rPr>
        <w:t>The complete InfoGuard source code is available at the following GitHub repository and live URL:</w:t>
      </w:r>
    </w:p>
    <w:p w14:paraId="6955DD0A" w14:textId="77777777" w:rsidR="00A009D4" w:rsidRDefault="00000000">
      <w:pPr>
        <w:spacing w:after="120"/>
        <w:jc w:val="both"/>
      </w:pPr>
      <w:r>
        <w:rPr>
          <w:rFonts w:ascii="Times New Roman" w:hAnsi="Times New Roman"/>
          <w:sz w:val="24"/>
        </w:rPr>
        <w:t>Repository: https://github.com/ssramoss/INFOGUARD-Phishing-Simulation</w:t>
      </w:r>
    </w:p>
    <w:p w14:paraId="1E0DC205" w14:textId="77777777" w:rsidR="00A009D4" w:rsidRDefault="00000000">
      <w:pPr>
        <w:spacing w:after="120"/>
        <w:jc w:val="both"/>
      </w:pPr>
      <w:r>
        <w:rPr>
          <w:rFonts w:ascii="Times New Roman" w:hAnsi="Times New Roman"/>
          <w:sz w:val="24"/>
        </w:rPr>
        <w:t>Live Platform: https://ssramoss.github.io/INFOGUARD-Phishing-Simulation/</w:t>
      </w:r>
    </w:p>
    <w:p w14:paraId="10D8F730" w14:textId="77777777" w:rsidR="00A009D4" w:rsidRDefault="00000000">
      <w:pPr>
        <w:spacing w:after="120"/>
        <w:jc w:val="both"/>
      </w:pPr>
      <w:r>
        <w:rPr>
          <w:rFonts w:ascii="Times New Roman" w:hAnsi="Times New Roman"/>
          <w:sz w:val="24"/>
        </w:rPr>
        <w:t>The platform is contained within a single index.html file comprising HTML5 structure, CSS3 styling, and JavaScript logic with Three.js loaded via CDN import map. The repository is publicly accessible and the source code may be reviewed in full at any time. A printed copy of the source code is available on request.</w:t>
      </w:r>
    </w:p>
    <w:sectPr w:rsidR="00A009D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76401454">
    <w:abstractNumId w:val="8"/>
  </w:num>
  <w:num w:numId="2" w16cid:durableId="611127343">
    <w:abstractNumId w:val="6"/>
  </w:num>
  <w:num w:numId="3" w16cid:durableId="1114180238">
    <w:abstractNumId w:val="5"/>
  </w:num>
  <w:num w:numId="4" w16cid:durableId="1399282523">
    <w:abstractNumId w:val="4"/>
  </w:num>
  <w:num w:numId="5" w16cid:durableId="679551306">
    <w:abstractNumId w:val="7"/>
  </w:num>
  <w:num w:numId="6" w16cid:durableId="1175652700">
    <w:abstractNumId w:val="3"/>
  </w:num>
  <w:num w:numId="7" w16cid:durableId="1524174276">
    <w:abstractNumId w:val="2"/>
  </w:num>
  <w:num w:numId="8" w16cid:durableId="806825955">
    <w:abstractNumId w:val="1"/>
  </w:num>
  <w:num w:numId="9" w16cid:durableId="1475751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493E"/>
    <w:rsid w:val="0015074B"/>
    <w:rsid w:val="0029639D"/>
    <w:rsid w:val="00326F90"/>
    <w:rsid w:val="003E3808"/>
    <w:rsid w:val="008D4AB4"/>
    <w:rsid w:val="00A009D4"/>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B92281"/>
  <w14:defaultImageDpi w14:val="300"/>
  <w15:docId w15:val="{A084EECB-A47B-4BEF-A88A-1DA793D4C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laceholderText">
    <w:name w:val="Placeholder Text"/>
    <w:basedOn w:val="DefaultParagraphFont"/>
    <w:uiPriority w:val="99"/>
    <w:semiHidden/>
    <w:rsid w:val="000A493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69E5154-75D9-4A61-B741-ED2AB4B4E66A}"/>
      </w:docPartPr>
      <w:docPartBody>
        <w:p w:rsidR="00000000" w:rsidRDefault="0079598C">
          <w:r w:rsidRPr="00B1148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98C"/>
    <w:rsid w:val="003E3808"/>
    <w:rsid w:val="0043753B"/>
    <w:rsid w:val="007959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9598C"/>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5AD7774-1F9B-45C5-B23C-096B7EEC4A83}">
  <we:reference id="f7164644-6193-4742-a703-0dc1551d5955" version="1.1.121.0" store="EXCatalog" storeType="EXCatalog"/>
  <we:alternateReferences>
    <we:reference id="WA200004257" version="1.1.12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10610</Words>
  <Characters>67592</Characters>
  <Application>Microsoft Office Word</Application>
  <DocSecurity>0</DocSecurity>
  <Lines>1379</Lines>
  <Paragraphs>635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77567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Omar Bashir</cp:lastModifiedBy>
  <cp:revision>4</cp:revision>
  <dcterms:created xsi:type="dcterms:W3CDTF">2026-05-07T09:08:00Z</dcterms:created>
  <dcterms:modified xsi:type="dcterms:W3CDTF">2026-05-07T09:11:00Z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I_WORD_DOCUMENT_FILENAME">
    <vt:lpwstr>C:\Users\omarm\OneDrive\Desktop\level 6 work\fyp\final doc\InfoGuard_FYP_Omar_Bashir_FINAL_10K.docx</vt:lpwstr>
  </property>
  <property fmtid="{D5CDD505-2E9C-101B-9397-08002B2CF9AE}" pid="3" name="TII_WORD_DOCUMENT_ID">
    <vt:lpwstr>a418e90e-ca62-4c80-842b-7699ba5af0c0</vt:lpwstr>
  </property>
  <property fmtid="{D5CDD505-2E9C-101B-9397-08002B2CF9AE}" pid="4" name="TII_WORD_DOCUMENT_HASH">
    <vt:lpwstr>82b9073912a166c3db856949028e07616943621b60ff549f8385403c2d8def2b</vt:lpwstr>
  </property>
</Properties>
</file>